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D6E520" w14:textId="77777777" w:rsidR="008A5AAE" w:rsidRDefault="008A5AAE" w:rsidP="008A5AAE">
      <w:pPr>
        <w:pStyle w:val="SectionTitle"/>
      </w:pPr>
      <w:sdt>
        <w:sdtPr>
          <w:alias w:val="Section title:"/>
          <w:tag w:val="Section title:"/>
          <w:id w:val="2084647432"/>
          <w:placeholder>
            <w:docPart w:val="E4D6689A01D5463DAE58CF538E1BAD68"/>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t>Sovereignty For Your Body: Acceptability of Sexual Victimization Risk Reduction Interventions among Indigenous College Students</w:t>
          </w:r>
        </w:sdtContent>
      </w:sdt>
    </w:p>
    <w:p w14:paraId="0C2337D2" w14:textId="77777777" w:rsidR="008A5AAE" w:rsidRDefault="008A5AAE" w:rsidP="008A5AAE">
      <w:pPr>
        <w:pStyle w:val="Title2"/>
        <w:rPr>
          <w:rFonts w:ascii="Times New Roman" w:hAnsi="Times New Roman" w:cs="Times New Roman"/>
        </w:rPr>
      </w:pPr>
    </w:p>
    <w:p w14:paraId="1B82F6CD" w14:textId="38937604" w:rsidR="008A5AAE" w:rsidRPr="00F04049" w:rsidRDefault="008A5AAE" w:rsidP="008A5AAE">
      <w:pPr>
        <w:pStyle w:val="Title2"/>
        <w:rPr>
          <w:rFonts w:ascii="Times New Roman" w:hAnsi="Times New Roman" w:cs="Times New Roman"/>
        </w:rPr>
      </w:pPr>
      <w:r w:rsidRPr="00F04049">
        <w:rPr>
          <w:rFonts w:ascii="Times New Roman" w:hAnsi="Times New Roman" w:cs="Times New Roman"/>
        </w:rPr>
        <w:t>Anderson, R. E.</w:t>
      </w:r>
      <w:r w:rsidRPr="00F04049">
        <w:rPr>
          <w:rFonts w:ascii="Times New Roman" w:hAnsi="Times New Roman" w:cs="Times New Roman"/>
          <w:vertAlign w:val="superscript"/>
        </w:rPr>
        <w:t>1</w:t>
      </w:r>
      <w:r w:rsidRPr="00F04049">
        <w:rPr>
          <w:rFonts w:ascii="Times New Roman" w:hAnsi="Times New Roman" w:cs="Times New Roman"/>
        </w:rPr>
        <w:t>, Cole, A. B.</w:t>
      </w:r>
      <w:r w:rsidRPr="00F04049">
        <w:rPr>
          <w:rFonts w:ascii="Times New Roman" w:hAnsi="Times New Roman" w:cs="Times New Roman"/>
          <w:vertAlign w:val="superscript"/>
        </w:rPr>
        <w:t>2</w:t>
      </w:r>
      <w:r w:rsidRPr="00F04049">
        <w:rPr>
          <w:rFonts w:ascii="Times New Roman" w:hAnsi="Times New Roman" w:cs="Times New Roman"/>
        </w:rPr>
        <w:t>, Unger, L. D.</w:t>
      </w:r>
      <w:r w:rsidRPr="00F04049">
        <w:rPr>
          <w:rFonts w:ascii="Times New Roman" w:hAnsi="Times New Roman" w:cs="Times New Roman"/>
          <w:vertAlign w:val="superscript"/>
        </w:rPr>
        <w:t xml:space="preserve"> 1</w:t>
      </w:r>
      <w:r w:rsidRPr="00F04049">
        <w:rPr>
          <w:rFonts w:ascii="Times New Roman" w:hAnsi="Times New Roman" w:cs="Times New Roman"/>
        </w:rPr>
        <w:t>, Armstrong, C.</w:t>
      </w:r>
      <w:r w:rsidRPr="00F04049">
        <w:rPr>
          <w:rFonts w:ascii="Times New Roman" w:hAnsi="Times New Roman" w:cs="Times New Roman"/>
          <w:vertAlign w:val="superscript"/>
        </w:rPr>
        <w:t xml:space="preserve"> 2</w:t>
      </w:r>
      <w:r w:rsidRPr="00F04049">
        <w:rPr>
          <w:rFonts w:ascii="Times New Roman" w:hAnsi="Times New Roman" w:cs="Times New Roman"/>
        </w:rPr>
        <w:t>, Arteaga, K.</w:t>
      </w:r>
      <w:r w:rsidRPr="00F04049">
        <w:rPr>
          <w:rFonts w:ascii="Times New Roman" w:hAnsi="Times New Roman" w:cs="Times New Roman"/>
          <w:vertAlign w:val="superscript"/>
        </w:rPr>
        <w:t>2</w:t>
      </w:r>
      <w:r w:rsidRPr="00F04049">
        <w:rPr>
          <w:rFonts w:ascii="Times New Roman" w:hAnsi="Times New Roman" w:cs="Times New Roman"/>
        </w:rPr>
        <w:t>, Hanna, A.</w:t>
      </w:r>
      <w:r w:rsidRPr="00F04049">
        <w:rPr>
          <w:rFonts w:ascii="Times New Roman" w:hAnsi="Times New Roman" w:cs="Times New Roman"/>
          <w:vertAlign w:val="superscript"/>
        </w:rPr>
        <w:t xml:space="preserve"> 1</w:t>
      </w:r>
      <w:r w:rsidRPr="00F04049">
        <w:rPr>
          <w:rFonts w:ascii="Times New Roman" w:hAnsi="Times New Roman" w:cs="Times New Roman"/>
        </w:rPr>
        <w:t>, Pomani, S.</w:t>
      </w:r>
      <w:r w:rsidRPr="00F04049">
        <w:rPr>
          <w:rFonts w:ascii="Times New Roman" w:hAnsi="Times New Roman" w:cs="Times New Roman"/>
          <w:vertAlign w:val="superscript"/>
        </w:rPr>
        <w:t xml:space="preserve"> 1</w:t>
      </w:r>
      <w:r w:rsidRPr="00F04049">
        <w:rPr>
          <w:rFonts w:ascii="Times New Roman" w:hAnsi="Times New Roman" w:cs="Times New Roman"/>
        </w:rPr>
        <w:t xml:space="preserve">, </w:t>
      </w:r>
      <w:r>
        <w:rPr>
          <w:rFonts w:ascii="Times New Roman" w:hAnsi="Times New Roman" w:cs="Times New Roman"/>
        </w:rPr>
        <w:t>Morin, E.</w:t>
      </w:r>
      <w:r w:rsidRPr="0096364F">
        <w:rPr>
          <w:rFonts w:ascii="Times New Roman" w:hAnsi="Times New Roman" w:cs="Times New Roman"/>
          <w:vertAlign w:val="superscript"/>
        </w:rPr>
        <w:t xml:space="preserve"> </w:t>
      </w:r>
      <w:r w:rsidRPr="00F04049">
        <w:rPr>
          <w:rFonts w:ascii="Times New Roman" w:hAnsi="Times New Roman" w:cs="Times New Roman"/>
          <w:vertAlign w:val="superscript"/>
        </w:rPr>
        <w:t>1</w:t>
      </w:r>
      <w:r>
        <w:rPr>
          <w:rFonts w:ascii="Times New Roman" w:hAnsi="Times New Roman" w:cs="Times New Roman"/>
        </w:rPr>
        <w:t xml:space="preserve">, </w:t>
      </w:r>
      <w:r w:rsidRPr="00F04049">
        <w:rPr>
          <w:rFonts w:ascii="Times New Roman" w:hAnsi="Times New Roman" w:cs="Times New Roman"/>
        </w:rPr>
        <w:t>Cole, R.</w:t>
      </w:r>
      <w:r w:rsidRPr="00F04049">
        <w:rPr>
          <w:rFonts w:ascii="Times New Roman" w:hAnsi="Times New Roman" w:cs="Times New Roman"/>
          <w:vertAlign w:val="superscript"/>
        </w:rPr>
        <w:t xml:space="preserve"> 2</w:t>
      </w:r>
      <w:r w:rsidRPr="00F04049">
        <w:rPr>
          <w:rFonts w:ascii="Times New Roman" w:hAnsi="Times New Roman" w:cs="Times New Roman"/>
        </w:rPr>
        <w:t xml:space="preserve"> </w:t>
      </w:r>
    </w:p>
    <w:p w14:paraId="0A42D20B" w14:textId="77777777" w:rsidR="008A5AAE" w:rsidRPr="00F04049" w:rsidRDefault="008A5AAE" w:rsidP="008A5AAE">
      <w:pPr>
        <w:pStyle w:val="Title2"/>
        <w:rPr>
          <w:rFonts w:ascii="Times New Roman" w:hAnsi="Times New Roman" w:cs="Times New Roman"/>
        </w:rPr>
      </w:pPr>
      <w:r w:rsidRPr="00F04049">
        <w:rPr>
          <w:rFonts w:ascii="Times New Roman" w:hAnsi="Times New Roman" w:cs="Times New Roman"/>
          <w:vertAlign w:val="superscript"/>
        </w:rPr>
        <w:t xml:space="preserve">1 </w:t>
      </w:r>
      <w:r w:rsidRPr="00F04049">
        <w:rPr>
          <w:rFonts w:ascii="Times New Roman" w:hAnsi="Times New Roman" w:cs="Times New Roman"/>
        </w:rPr>
        <w:t>University of North Dakota</w:t>
      </w:r>
    </w:p>
    <w:p w14:paraId="4080B2FB" w14:textId="77777777" w:rsidR="008A5AAE" w:rsidRPr="00F04049" w:rsidRDefault="008A5AAE" w:rsidP="008A5AAE">
      <w:pPr>
        <w:pStyle w:val="Title2"/>
        <w:rPr>
          <w:rFonts w:ascii="Times New Roman" w:hAnsi="Times New Roman" w:cs="Times New Roman"/>
        </w:rPr>
      </w:pPr>
      <w:r w:rsidRPr="00F04049">
        <w:rPr>
          <w:rFonts w:ascii="Times New Roman" w:hAnsi="Times New Roman" w:cs="Times New Roman"/>
          <w:vertAlign w:val="superscript"/>
        </w:rPr>
        <w:t>2</w:t>
      </w:r>
      <w:r w:rsidRPr="00F04049">
        <w:rPr>
          <w:rFonts w:ascii="Times New Roman" w:hAnsi="Times New Roman" w:cs="Times New Roman"/>
        </w:rPr>
        <w:t xml:space="preserve"> Oklahoma State University</w:t>
      </w:r>
    </w:p>
    <w:p w14:paraId="245F2FDC" w14:textId="77777777" w:rsidR="008A5AAE" w:rsidRPr="00F04049" w:rsidRDefault="008A5AAE" w:rsidP="008A5AAE">
      <w:pPr>
        <w:pStyle w:val="Title2"/>
        <w:rPr>
          <w:rFonts w:ascii="Times New Roman" w:hAnsi="Times New Roman" w:cs="Times New Roman"/>
        </w:rPr>
      </w:pPr>
      <w:r w:rsidRPr="00F04049">
        <w:rPr>
          <w:rFonts w:ascii="Times New Roman" w:hAnsi="Times New Roman" w:cs="Times New Roman"/>
        </w:rPr>
        <w:t>Contributor roles:</w:t>
      </w:r>
    </w:p>
    <w:p w14:paraId="72BBDB3E" w14:textId="77777777" w:rsidR="008A5AAE" w:rsidRPr="00F04049" w:rsidRDefault="008A5AAE" w:rsidP="008A5AAE">
      <w:pPr>
        <w:pStyle w:val="Title2"/>
        <w:spacing w:line="240" w:lineRule="auto"/>
        <w:rPr>
          <w:rFonts w:ascii="Times New Roman" w:hAnsi="Times New Roman" w:cs="Times New Roman"/>
        </w:rPr>
      </w:pPr>
      <w:r w:rsidRPr="00F04049">
        <w:rPr>
          <w:rFonts w:ascii="Times New Roman" w:hAnsi="Times New Roman" w:cs="Times New Roman"/>
        </w:rPr>
        <w:t>Authors REA, ABC, AH, SP, CA, LU</w:t>
      </w:r>
      <w:r>
        <w:rPr>
          <w:rFonts w:ascii="Times New Roman" w:hAnsi="Times New Roman" w:cs="Times New Roman"/>
        </w:rPr>
        <w:t>, EM</w:t>
      </w:r>
      <w:r w:rsidRPr="00F04049">
        <w:rPr>
          <w:rFonts w:ascii="Times New Roman" w:hAnsi="Times New Roman" w:cs="Times New Roman"/>
        </w:rPr>
        <w:t xml:space="preserve"> contributed to conceptualizations, to RA, LU data curation, REA, KA to formal analysis, REA, ABC to funding acquisition, LU, CA to investigation, REA, CA, LU, AH, ABC to methodology, REA, ABC, CA, LU, RC</w:t>
      </w:r>
      <w:r>
        <w:rPr>
          <w:rFonts w:ascii="Times New Roman" w:hAnsi="Times New Roman" w:cs="Times New Roman"/>
        </w:rPr>
        <w:t>, EM</w:t>
      </w:r>
      <w:r w:rsidRPr="00F04049">
        <w:rPr>
          <w:rFonts w:ascii="Times New Roman" w:hAnsi="Times New Roman" w:cs="Times New Roman"/>
        </w:rPr>
        <w:t xml:space="preserve"> to project administration, REA, ABC to resources, REA, ABC to supervision, REA, ABC, KA to original writing, REA, ABC, CA, KA, LA to review and editing.</w:t>
      </w:r>
    </w:p>
    <w:p w14:paraId="2BD6CEF0" w14:textId="77777777" w:rsidR="008A5AAE" w:rsidRPr="00F04049" w:rsidRDefault="008A5AAE" w:rsidP="008A5AAE">
      <w:pPr>
        <w:pStyle w:val="Title2"/>
        <w:spacing w:line="240" w:lineRule="auto"/>
        <w:rPr>
          <w:rFonts w:ascii="Times New Roman" w:hAnsi="Times New Roman" w:cs="Times New Roman"/>
        </w:rPr>
      </w:pPr>
    </w:p>
    <w:p w14:paraId="6ACD98F0" w14:textId="77777777" w:rsidR="008A5AAE" w:rsidRPr="00F04049" w:rsidRDefault="008A5AAE" w:rsidP="008A5AAE">
      <w:pPr>
        <w:pStyle w:val="Title2"/>
        <w:rPr>
          <w:rFonts w:ascii="Times New Roman" w:hAnsi="Times New Roman" w:cs="Times New Roman"/>
        </w:rPr>
      </w:pPr>
      <w:r w:rsidRPr="00F04049">
        <w:rPr>
          <w:rFonts w:ascii="Times New Roman" w:hAnsi="Times New Roman" w:cs="Times New Roman"/>
        </w:rPr>
        <w:t xml:space="preserve">Author </w:t>
      </w:r>
      <w:proofErr w:type="gramStart"/>
      <w:r w:rsidRPr="00F04049">
        <w:rPr>
          <w:rFonts w:ascii="Times New Roman" w:hAnsi="Times New Roman" w:cs="Times New Roman"/>
        </w:rPr>
        <w:t>note</w:t>
      </w:r>
      <w:proofErr w:type="gramEnd"/>
    </w:p>
    <w:p w14:paraId="6C712187" w14:textId="492386B2" w:rsidR="008A5AAE" w:rsidRPr="00F04049" w:rsidRDefault="008A5AAE" w:rsidP="008A5AAE">
      <w:pPr>
        <w:pStyle w:val="Title2"/>
        <w:spacing w:line="240" w:lineRule="auto"/>
        <w:jc w:val="left"/>
        <w:rPr>
          <w:rFonts w:ascii="Times New Roman" w:hAnsi="Times New Roman" w:cs="Times New Roman"/>
        </w:rPr>
      </w:pPr>
      <w:r w:rsidRPr="00F04049">
        <w:rPr>
          <w:rFonts w:ascii="Times New Roman" w:hAnsi="Times New Roman" w:cs="Times New Roman"/>
        </w:rPr>
        <w:t>Thank you to Ashly Hanna, Emily Carstens Namie, and Victoria Williams, Indigenous mentees who encouraged me to take on this project. Thank you to Beth Klemetsrud and Doug McDonald for their encouragement to do research on this topic. Thank you for Courtney Davis for being an early participant who provided helpful feedback on the survey. Thank you to all the resilient Indigenous students who participated in the study. Thank you to Souta Calling Last, for answering my phone call and allowing us to license her Indigenous art for the recruitment flyers. Thanks to all the providers on Indigenous lands who took a leap in speaking with us. Thank you to Ashley Cole for taking a leap and becoming my collaborator and treasured co-PI on this project and many more.</w:t>
      </w:r>
      <w:r>
        <w:rPr>
          <w:rFonts w:ascii="Times New Roman" w:hAnsi="Times New Roman" w:cs="Times New Roman"/>
        </w:rPr>
        <w:t xml:space="preserve"> The authorship team of this project is majority Indigenous and proudly represents six different sovereign nations. The study team conducted this project from the historical lands of the Dakota Oyate, Wichita, Quapaw, Kiowa, Osage, and Kickapoo nations.</w:t>
      </w:r>
    </w:p>
    <w:p w14:paraId="4B201913" w14:textId="77777777" w:rsidR="008A5AAE" w:rsidRPr="00F04049" w:rsidRDefault="008A5AAE" w:rsidP="008A5AAE">
      <w:pPr>
        <w:pStyle w:val="Title2"/>
        <w:spacing w:line="240" w:lineRule="auto"/>
        <w:jc w:val="left"/>
        <w:rPr>
          <w:rFonts w:ascii="Times New Roman" w:hAnsi="Times New Roman" w:cs="Times New Roman"/>
        </w:rPr>
      </w:pPr>
    </w:p>
    <w:p w14:paraId="296ED06F" w14:textId="77777777" w:rsidR="008A5AAE" w:rsidRPr="00F04049" w:rsidRDefault="008A5AAE" w:rsidP="008A5AAE">
      <w:pPr>
        <w:pStyle w:val="Title2"/>
        <w:spacing w:line="240" w:lineRule="auto"/>
        <w:jc w:val="left"/>
        <w:rPr>
          <w:rFonts w:ascii="Times New Roman" w:hAnsi="Times New Roman" w:cs="Times New Roman"/>
        </w:rPr>
      </w:pPr>
      <w:r w:rsidRPr="00F04049">
        <w:rPr>
          <w:rFonts w:ascii="Times New Roman" w:hAnsi="Times New Roman" w:cs="Times New Roman"/>
        </w:rPr>
        <w:t xml:space="preserve">This study was funded by the Lindsay M. Bonistall Foundation and ND </w:t>
      </w:r>
      <w:proofErr w:type="spellStart"/>
      <w:r w:rsidRPr="00F04049">
        <w:rPr>
          <w:rFonts w:ascii="Times New Roman" w:hAnsi="Times New Roman" w:cs="Times New Roman"/>
        </w:rPr>
        <w:t>EPSCoR</w:t>
      </w:r>
      <w:proofErr w:type="spellEnd"/>
      <w:r w:rsidRPr="00F04049">
        <w:rPr>
          <w:rFonts w:ascii="Times New Roman" w:hAnsi="Times New Roman" w:cs="Times New Roman"/>
        </w:rPr>
        <w:t xml:space="preserve">. Thank you to the LMB Foundation for their encouragement and support. We hope we </w:t>
      </w:r>
      <w:proofErr w:type="gramStart"/>
      <w:r w:rsidRPr="00F04049">
        <w:rPr>
          <w:rFonts w:ascii="Times New Roman" w:hAnsi="Times New Roman" w:cs="Times New Roman"/>
        </w:rPr>
        <w:t>did</w:t>
      </w:r>
      <w:proofErr w:type="gramEnd"/>
      <w:r w:rsidRPr="00F04049">
        <w:rPr>
          <w:rFonts w:ascii="Times New Roman" w:hAnsi="Times New Roman" w:cs="Times New Roman"/>
        </w:rPr>
        <w:t xml:space="preserve"> you all proud and honored Lindsay. In addition, Dr. Anderson’s time was supported by K01AA026643, Dr. Cole’s time was supported by </w:t>
      </w:r>
      <w:bookmarkStart w:id="0" w:name="_Hlk63075834"/>
      <w:r w:rsidRPr="00F04049">
        <w:rPr>
          <w:rFonts w:ascii="Times New Roman" w:hAnsi="Times New Roman" w:cs="Times New Roman"/>
        </w:rPr>
        <w:t>P20CA253255</w:t>
      </w:r>
      <w:bookmarkStart w:id="1" w:name="_Hlk109723559"/>
      <w:bookmarkEnd w:id="0"/>
      <w:r w:rsidRPr="00F04049">
        <w:rPr>
          <w:rFonts w:ascii="Times New Roman" w:hAnsi="Times New Roman" w:cs="Times New Roman"/>
        </w:rPr>
        <w:t>, R01MH126586</w:t>
      </w:r>
      <w:bookmarkEnd w:id="1"/>
      <w:r w:rsidRPr="00F04049">
        <w:rPr>
          <w:rFonts w:ascii="Times New Roman" w:hAnsi="Times New Roman" w:cs="Times New Roman"/>
        </w:rPr>
        <w:t xml:space="preserve">, and Ms. Arteaga’s time was supported by 1T32GM140953. Views presented in this manuscript do not reflect the opinions of the National Institutes of Health. </w:t>
      </w:r>
    </w:p>
    <w:p w14:paraId="39FF5FF0" w14:textId="32235728" w:rsidR="00E81978" w:rsidRPr="008A5AAE" w:rsidRDefault="008A5AAE">
      <w:pPr>
        <w:pStyle w:val="SectionTitle"/>
        <w:rPr>
          <w:b/>
          <w:bCs/>
        </w:rPr>
      </w:pPr>
      <w:r>
        <w:rPr>
          <w:b/>
          <w:bCs/>
        </w:rPr>
        <w:lastRenderedPageBreak/>
        <w:t>Abstract</w:t>
      </w:r>
    </w:p>
    <w:p w14:paraId="1510409F" w14:textId="3EF9FA69" w:rsidR="00E81978" w:rsidRPr="00824864" w:rsidRDefault="006670BB">
      <w:pPr>
        <w:pStyle w:val="NoSpacing"/>
      </w:pPr>
      <w:bookmarkStart w:id="2" w:name="_Hlk144479733"/>
      <w:r>
        <w:rPr>
          <w:b/>
          <w:bCs/>
        </w:rPr>
        <w:t>Objective:</w:t>
      </w:r>
      <w:r w:rsidR="00824864">
        <w:rPr>
          <w:b/>
          <w:bCs/>
        </w:rPr>
        <w:t xml:space="preserve"> </w:t>
      </w:r>
      <w:r w:rsidR="00824864">
        <w:t xml:space="preserve">The goal of this study is to understand what type of sexual violence risk reduction intervention programs </w:t>
      </w:r>
      <w:r w:rsidR="009E7E47">
        <w:t>and</w:t>
      </w:r>
      <w:r w:rsidR="00824864">
        <w:t xml:space="preserve"> elements are acceptable to Indigenous college students</w:t>
      </w:r>
      <w:r w:rsidR="00C43726">
        <w:t xml:space="preserve"> via quantitative survey research methods</w:t>
      </w:r>
      <w:r w:rsidR="00824864">
        <w:t>.</w:t>
      </w:r>
    </w:p>
    <w:p w14:paraId="2F4DDF57" w14:textId="7AA0CC44" w:rsidR="006670BB" w:rsidRPr="00824864" w:rsidRDefault="006670BB" w:rsidP="004731A2">
      <w:pPr>
        <w:pStyle w:val="NoSpacing"/>
      </w:pPr>
      <w:r>
        <w:rPr>
          <w:b/>
          <w:bCs/>
        </w:rPr>
        <w:t>Method:</w:t>
      </w:r>
      <w:r w:rsidR="00824864">
        <w:rPr>
          <w:b/>
          <w:bCs/>
        </w:rPr>
        <w:t xml:space="preserve"> </w:t>
      </w:r>
      <w:r w:rsidR="00824864">
        <w:t xml:space="preserve">401 Indigenous college students </w:t>
      </w:r>
      <w:r w:rsidR="009E7E47">
        <w:t>(</w:t>
      </w:r>
      <w:r w:rsidR="00824864">
        <w:t>77.1%</w:t>
      </w:r>
      <w:r w:rsidR="009E7E47">
        <w:t xml:space="preserve"> women, 19.7% men, 3.0% trans or </w:t>
      </w:r>
      <w:r w:rsidR="004E1622">
        <w:t>T</w:t>
      </w:r>
      <w:r w:rsidR="009E7E47">
        <w:t xml:space="preserve">wo </w:t>
      </w:r>
      <w:r w:rsidR="004E1622">
        <w:t>S</w:t>
      </w:r>
      <w:r w:rsidR="009E7E47">
        <w:t>pirit</w:t>
      </w:r>
      <w:r w:rsidR="00824864">
        <w:t>)</w:t>
      </w:r>
      <w:r w:rsidR="009E7E47">
        <w:t xml:space="preserve"> from across North America were recruited. </w:t>
      </w:r>
      <w:r w:rsidR="00824864">
        <w:t xml:space="preserve">Students read standardized descriptions of four different </w:t>
      </w:r>
      <w:r w:rsidR="008E29E9" w:rsidRPr="008E29E9">
        <w:t>sexual victimization risk reduction intervention</w:t>
      </w:r>
      <w:r w:rsidR="008E29E9">
        <w:t>s</w:t>
      </w:r>
      <w:r w:rsidR="008E29E9" w:rsidRPr="008E29E9">
        <w:t xml:space="preserve"> (SVRRI</w:t>
      </w:r>
      <w:r w:rsidR="008E29E9">
        <w:t>s</w:t>
      </w:r>
      <w:r w:rsidR="008E29E9" w:rsidRPr="008E29E9">
        <w:t>)</w:t>
      </w:r>
      <w:r w:rsidR="00824864">
        <w:t xml:space="preserve"> </w:t>
      </w:r>
      <w:r w:rsidR="00DB4618">
        <w:t xml:space="preserve">that ranged in characteristics </w:t>
      </w:r>
      <w:r w:rsidR="00824864">
        <w:t xml:space="preserve">and ranked the interventions. All students provided acceptability ratings </w:t>
      </w:r>
      <w:r w:rsidR="00AF3FB5">
        <w:t>f</w:t>
      </w:r>
      <w:r w:rsidR="009E7E47">
        <w:t xml:space="preserve">or Flip the Script with </w:t>
      </w:r>
      <w:r w:rsidR="00CB49B5">
        <w:t>Enhanced Assess, Acknowledge, Act (</w:t>
      </w:r>
      <w:r w:rsidR="009E7E47">
        <w:t>EAAA</w:t>
      </w:r>
      <w:r w:rsidR="00CB49B5">
        <w:t>)</w:t>
      </w:r>
      <w:r w:rsidR="009E7E47">
        <w:t xml:space="preserve"> and a program of their choice</w:t>
      </w:r>
      <w:r w:rsidR="00824864">
        <w:t xml:space="preserve">. </w:t>
      </w:r>
      <w:r w:rsidR="004731A2">
        <w:t>Participants</w:t>
      </w:r>
      <w:r w:rsidR="00DB4618">
        <w:t xml:space="preserve"> also rated</w:t>
      </w:r>
      <w:r w:rsidR="009E7E47">
        <w:t xml:space="preserve"> the importance of</w:t>
      </w:r>
      <w:r w:rsidR="00DB4618">
        <w:t xml:space="preserve"> specific intervention elements, including cultural content.</w:t>
      </w:r>
    </w:p>
    <w:p w14:paraId="5E05EA76" w14:textId="4CDCD133" w:rsidR="006670BB" w:rsidRPr="00824864" w:rsidRDefault="006670BB">
      <w:pPr>
        <w:pStyle w:val="NoSpacing"/>
      </w:pPr>
      <w:r>
        <w:rPr>
          <w:b/>
          <w:bCs/>
        </w:rPr>
        <w:t>Results:</w:t>
      </w:r>
      <w:r w:rsidR="00824864" w:rsidRPr="00DB4618">
        <w:t xml:space="preserve"> </w:t>
      </w:r>
      <w:r w:rsidR="00DB4618" w:rsidRPr="00DB4618">
        <w:t xml:space="preserve">Most participants had a history of sexual victimization; 80.8% had been sexually victimized at some point in their life. </w:t>
      </w:r>
      <w:r w:rsidR="00824864">
        <w:t>The combined sexual violence and substance use reduction intervention (</w:t>
      </w:r>
      <w:r w:rsidR="00EC75C4" w:rsidRPr="003474A5">
        <w:t>Sexual Assault Risk and Alcohol Use Reduction Program</w:t>
      </w:r>
      <w:r w:rsidR="00EC75C4">
        <w:t xml:space="preserve"> [</w:t>
      </w:r>
      <w:r w:rsidR="00824864">
        <w:t>SAARR</w:t>
      </w:r>
      <w:r w:rsidR="00EC75C4">
        <w:t>]</w:t>
      </w:r>
      <w:r w:rsidR="00824864">
        <w:t>) was mo</w:t>
      </w:r>
      <w:r w:rsidR="009E7E47">
        <w:t xml:space="preserve">st </w:t>
      </w:r>
      <w:r w:rsidR="00824864">
        <w:t xml:space="preserve">frequently ranked as the first choice by 36.2% of the sample, </w:t>
      </w:r>
      <w:r w:rsidR="00824864" w:rsidRPr="00824864">
        <w:rPr>
          <w:i/>
          <w:iCs/>
        </w:rPr>
        <w:t>p</w:t>
      </w:r>
      <w:r w:rsidR="00824864">
        <w:t xml:space="preserve"> &lt; 0.1. Considering acceptability ratings, all four </w:t>
      </w:r>
      <w:r w:rsidR="008E29E9">
        <w:t xml:space="preserve">SVRRIs </w:t>
      </w:r>
      <w:r w:rsidR="00824864">
        <w:t>were considered acceptable by most of the sample</w:t>
      </w:r>
      <w:r w:rsidR="00DB4618">
        <w:t>,</w:t>
      </w:r>
      <w:r w:rsidR="00824864">
        <w:t xml:space="preserve"> with Flip the Script with EAAA </w:t>
      </w:r>
      <w:r w:rsidR="004E1622">
        <w:t>rated highest of acceptability</w:t>
      </w:r>
      <w:r w:rsidR="00824864">
        <w:t xml:space="preserve"> at 95.3%</w:t>
      </w:r>
      <w:r w:rsidR="004E1622">
        <w:t xml:space="preserve"> and </w:t>
      </w:r>
      <w:proofErr w:type="gramStart"/>
      <w:r w:rsidR="004E1622">
        <w:t>Bringing</w:t>
      </w:r>
      <w:proofErr w:type="gramEnd"/>
      <w:r w:rsidR="004E1622">
        <w:t xml:space="preserve"> in the Bystander having the lowest rate of acceptability at 71.4%</w:t>
      </w:r>
      <w:r w:rsidR="00824864">
        <w:t>.</w:t>
      </w:r>
      <w:r w:rsidR="00DB4618">
        <w:t xml:space="preserve"> Cultural content was rated as a moderately important intervention element.</w:t>
      </w:r>
    </w:p>
    <w:p w14:paraId="193DDA52" w14:textId="5B61C091" w:rsidR="006670BB" w:rsidRPr="00DB4618" w:rsidRDefault="006670BB">
      <w:pPr>
        <w:pStyle w:val="NoSpacing"/>
      </w:pPr>
      <w:r>
        <w:rPr>
          <w:b/>
          <w:bCs/>
        </w:rPr>
        <w:t>Conclusions:</w:t>
      </w:r>
      <w:r w:rsidR="00DB4618">
        <w:rPr>
          <w:b/>
          <w:bCs/>
        </w:rPr>
        <w:t xml:space="preserve"> </w:t>
      </w:r>
      <w:r w:rsidR="00DB4618">
        <w:t>Indigenous college students are open to many different forms of sexual violence risk reduction intervention</w:t>
      </w:r>
      <w:r w:rsidR="004E1622">
        <w:t>s</w:t>
      </w:r>
      <w:r w:rsidR="00DB4618">
        <w:t>. Our findings suggest that simple cultural adaptations would be welcomed and scientifically supported to increase access and acceptability to violence intervention</w:t>
      </w:r>
      <w:r w:rsidR="004E1622">
        <w:t>s</w:t>
      </w:r>
      <w:r w:rsidR="00DB4618">
        <w:t xml:space="preserve"> for Indigenous college students.</w:t>
      </w:r>
    </w:p>
    <w:bookmarkEnd w:id="2"/>
    <w:p w14:paraId="2B8BE3B6" w14:textId="66B45396" w:rsidR="00E81978" w:rsidRDefault="005D3A03">
      <w:r>
        <w:rPr>
          <w:rStyle w:val="Emphasis"/>
        </w:rPr>
        <w:t>Keywords</w:t>
      </w:r>
      <w:r>
        <w:t xml:space="preserve">:  </w:t>
      </w:r>
      <w:r w:rsidR="006670BB">
        <w:t>sexual assault, Native American, Indigenous, acceptability, intervention</w:t>
      </w:r>
    </w:p>
    <w:p w14:paraId="30AB8FB0" w14:textId="72AD1219" w:rsidR="00E81978" w:rsidRDefault="00000000">
      <w:pPr>
        <w:pStyle w:val="SectionTitle"/>
      </w:pPr>
      <w:sdt>
        <w:sdtPr>
          <w:alias w:val="Section title:"/>
          <w:tag w:val="Section title:"/>
          <w:id w:val="984196707"/>
          <w:placeholder>
            <w:docPart w:val="C7E985AC51504BDF96C07B504CAE919C"/>
          </w:placeholder>
          <w:dataBinding w:prefixMappings="xmlns:ns0='http://purl.org/dc/elements/1.1/' xmlns:ns1='http://schemas.openxmlformats.org/package/2006/metadata/core-properties' " w:xpath="/ns1:coreProperties[1]/ns0:title[1]" w:storeItemID="{6C3C8BC8-F283-45AE-878A-BAB7291924A1}"/>
          <w15:appearance w15:val="hidden"/>
          <w:text w:multiLine="1"/>
        </w:sdtPr>
        <w:sdtContent>
          <w:r w:rsidR="000113A7">
            <w:t>Sovereignty For Your Body: Acceptability of Sexual Victimization Risk Reduction Interventions among Indigenous College Students</w:t>
          </w:r>
        </w:sdtContent>
      </w:sdt>
    </w:p>
    <w:p w14:paraId="40B43338" w14:textId="103F78D1" w:rsidR="00E81978" w:rsidRDefault="00E769C0">
      <w:pPr>
        <w:rPr>
          <w:rFonts w:ascii="Times New Roman" w:hAnsi="Times New Roman" w:cs="Times New Roman"/>
        </w:rPr>
      </w:pPr>
      <w:r>
        <w:t>S</w:t>
      </w:r>
      <w:r w:rsidR="003917EC">
        <w:t>exual violence</w:t>
      </w:r>
      <w:r w:rsidR="00E66094">
        <w:t xml:space="preserve"> victimization</w:t>
      </w:r>
      <w:r w:rsidR="003917EC">
        <w:t xml:space="preserve"> encompasses a range of nonconsensual sexual experiences from unwanted touching to penetration</w:t>
      </w:r>
      <w:r w:rsidR="00442CDF">
        <w:t xml:space="preserve"> by physical force (</w:t>
      </w:r>
      <w:r w:rsidR="00493B76" w:rsidRPr="00493B76">
        <w:rPr>
          <w:rFonts w:ascii="Times New Roman" w:hAnsi="Times New Roman" w:cs="Times New Roman"/>
        </w:rPr>
        <w:t>Basile et al., 20</w:t>
      </w:r>
      <w:r w:rsidR="009523D6">
        <w:rPr>
          <w:rFonts w:ascii="Times New Roman" w:hAnsi="Times New Roman" w:cs="Times New Roman"/>
        </w:rPr>
        <w:t>22</w:t>
      </w:r>
      <w:r w:rsidR="00493B76" w:rsidRPr="00493B76">
        <w:rPr>
          <w:rFonts w:ascii="Times New Roman" w:hAnsi="Times New Roman" w:cs="Times New Roman"/>
        </w:rPr>
        <w:t>)</w:t>
      </w:r>
      <w:r w:rsidR="003917EC">
        <w:t>.</w:t>
      </w:r>
      <w:r w:rsidR="00442CDF">
        <w:t xml:space="preserve"> </w:t>
      </w:r>
      <w:r w:rsidR="005F50FB">
        <w:t>T</w:t>
      </w:r>
      <w:r w:rsidR="003917EC">
        <w:t xml:space="preserve">he experience of sexual victimization is </w:t>
      </w:r>
      <w:r w:rsidR="00BB28BC">
        <w:t>common</w:t>
      </w:r>
      <w:r w:rsidR="005F50FB">
        <w:t xml:space="preserve"> in the </w:t>
      </w:r>
      <w:r w:rsidR="00922258">
        <w:t>United States (</w:t>
      </w:r>
      <w:r w:rsidR="005F50FB">
        <w:t>U</w:t>
      </w:r>
      <w:r w:rsidR="00AE70FF">
        <w:t>.</w:t>
      </w:r>
      <w:r w:rsidR="005F50FB">
        <w:t>S</w:t>
      </w:r>
      <w:r w:rsidR="0072571E">
        <w:t>.</w:t>
      </w:r>
      <w:r w:rsidR="00922258">
        <w:t>)</w:t>
      </w:r>
      <w:r w:rsidR="00BB28BC">
        <w:t>,</w:t>
      </w:r>
      <w:r w:rsidR="003917EC">
        <w:t xml:space="preserve"> </w:t>
      </w:r>
      <w:r w:rsidR="00BB28BC">
        <w:t>w</w:t>
      </w:r>
      <w:r w:rsidR="00B90131">
        <w:t>here</w:t>
      </w:r>
      <w:r w:rsidR="00BB28BC">
        <w:t xml:space="preserve"> an estimated </w:t>
      </w:r>
      <w:r w:rsidR="00E66094">
        <w:t>5</w:t>
      </w:r>
      <w:r w:rsidR="00493B76">
        <w:t>0</w:t>
      </w:r>
      <w:r w:rsidR="003917EC">
        <w:t>% of women</w:t>
      </w:r>
      <w:r w:rsidR="00BB28BC">
        <w:t xml:space="preserve"> </w:t>
      </w:r>
      <w:r w:rsidR="003917EC">
        <w:t xml:space="preserve">experience </w:t>
      </w:r>
      <w:r w:rsidR="00E66094">
        <w:t>sexual victimization of some type</w:t>
      </w:r>
      <w:r w:rsidR="00A63A4F">
        <w:t xml:space="preserve"> </w:t>
      </w:r>
      <w:r w:rsidR="002D4D49">
        <w:t xml:space="preserve">in their lifetime </w:t>
      </w:r>
      <w:r w:rsidR="00A63A4F" w:rsidRPr="00A63A4F">
        <w:rPr>
          <w:rFonts w:ascii="Times New Roman" w:hAnsi="Times New Roman" w:cs="Times New Roman"/>
        </w:rPr>
        <w:t>(B</w:t>
      </w:r>
      <w:r w:rsidR="00FE50E2">
        <w:rPr>
          <w:rFonts w:ascii="Times New Roman" w:hAnsi="Times New Roman" w:cs="Times New Roman"/>
        </w:rPr>
        <w:t xml:space="preserve">asile et </w:t>
      </w:r>
      <w:r w:rsidR="00922258">
        <w:rPr>
          <w:rFonts w:ascii="Times New Roman" w:hAnsi="Times New Roman" w:cs="Times New Roman"/>
        </w:rPr>
        <w:t>al</w:t>
      </w:r>
      <w:r w:rsidR="00FE50E2">
        <w:rPr>
          <w:rFonts w:ascii="Times New Roman" w:hAnsi="Times New Roman" w:cs="Times New Roman"/>
        </w:rPr>
        <w:t>., 2022</w:t>
      </w:r>
      <w:r w:rsidR="00A63A4F" w:rsidRPr="00A63A4F">
        <w:rPr>
          <w:rFonts w:ascii="Times New Roman" w:hAnsi="Times New Roman" w:cs="Times New Roman"/>
        </w:rPr>
        <w:t>)</w:t>
      </w:r>
      <w:r w:rsidR="003917EC">
        <w:t xml:space="preserve">. </w:t>
      </w:r>
      <w:r w:rsidR="00AF59E6" w:rsidRPr="00AF59E6">
        <w:t xml:space="preserve">This number rises to </w:t>
      </w:r>
      <w:r w:rsidR="00E66094">
        <w:t xml:space="preserve">approximately </w:t>
      </w:r>
      <w:r w:rsidR="002D4D49">
        <w:t>80% of Indigenous</w:t>
      </w:r>
      <w:r w:rsidR="00E66094">
        <w:t xml:space="preserve"> women</w:t>
      </w:r>
      <w:r w:rsidR="002D4D49">
        <w:t xml:space="preserve"> (Rosay, 201</w:t>
      </w:r>
      <w:r w:rsidR="00442CDF">
        <w:t>6</w:t>
      </w:r>
      <w:r w:rsidR="002D4D49">
        <w:t>)</w:t>
      </w:r>
      <w:r w:rsidR="00AF59E6" w:rsidRPr="00AF59E6">
        <w:t xml:space="preserve">. </w:t>
      </w:r>
      <w:r>
        <w:t>E</w:t>
      </w:r>
      <w:r w:rsidR="005F50FB">
        <w:t xml:space="preserve">xperiencing a </w:t>
      </w:r>
      <w:r w:rsidR="003917EC">
        <w:t>rape</w:t>
      </w:r>
      <w:r w:rsidR="00C62F9A">
        <w:t xml:space="preserve"> </w:t>
      </w:r>
      <w:r w:rsidR="005F50FB">
        <w:t xml:space="preserve">is associated with </w:t>
      </w:r>
      <w:r w:rsidR="003917EC">
        <w:t>a wide range of physical and emotional health problems</w:t>
      </w:r>
      <w:r w:rsidR="00BB28BC">
        <w:t>,</w:t>
      </w:r>
      <w:r w:rsidR="003917EC">
        <w:t xml:space="preserve"> including hypertension, chronic pain, depression, suicidality, posttraumatic stress disorder</w:t>
      </w:r>
      <w:r w:rsidR="00A23E69">
        <w:t>,</w:t>
      </w:r>
      <w:r w:rsidR="00A83681">
        <w:t xml:space="preserve"> and substance </w:t>
      </w:r>
      <w:r w:rsidR="00175DA2">
        <w:t>mis</w:t>
      </w:r>
      <w:r w:rsidR="00A83681">
        <w:t>use</w:t>
      </w:r>
      <w:r w:rsidR="003917EC">
        <w:t xml:space="preserve"> </w:t>
      </w:r>
      <w:r w:rsidR="003917EC" w:rsidRPr="003917EC">
        <w:rPr>
          <w:rFonts w:ascii="Times New Roman" w:hAnsi="Times New Roman" w:cs="Times New Roman"/>
        </w:rPr>
        <w:t>(Caceres et al., 2021; Dworkin et al., 2017)</w:t>
      </w:r>
      <w:r w:rsidR="003917EC">
        <w:rPr>
          <w:rFonts w:ascii="Times New Roman" w:hAnsi="Times New Roman" w:cs="Times New Roman"/>
        </w:rPr>
        <w:t>.</w:t>
      </w:r>
      <w:r w:rsidR="00A63A4F">
        <w:rPr>
          <w:rFonts w:ascii="Times New Roman" w:hAnsi="Times New Roman" w:cs="Times New Roman"/>
        </w:rPr>
        <w:t xml:space="preserve"> </w:t>
      </w:r>
      <w:r w:rsidR="00A27D44">
        <w:t>Indigenous women have</w:t>
      </w:r>
      <w:r w:rsidR="00A27D44" w:rsidRPr="00AF59E6">
        <w:t xml:space="preserve"> the highest risk of rape</w:t>
      </w:r>
      <w:r w:rsidR="00A27D44">
        <w:t xml:space="preserve"> or sexual victimization</w:t>
      </w:r>
      <w:r w:rsidR="00A27D44" w:rsidRPr="00AF59E6">
        <w:t xml:space="preserve"> among all ethnic/racial groups in the U.S. (</w:t>
      </w:r>
      <w:r w:rsidR="00A27D44" w:rsidRPr="00926839">
        <w:t>Lucchesi</w:t>
      </w:r>
      <w:r w:rsidR="00A27D44">
        <w:t xml:space="preserve"> </w:t>
      </w:r>
      <w:r w:rsidR="00A27D44" w:rsidRPr="00926839">
        <w:t>&amp; Echo-Hawk</w:t>
      </w:r>
      <w:r w:rsidR="00A27D44">
        <w:t>,</w:t>
      </w:r>
      <w:r w:rsidR="00A27D44" w:rsidRPr="00AF59E6">
        <w:t xml:space="preserve"> 2018)</w:t>
      </w:r>
      <w:r w:rsidR="00A27D44">
        <w:t xml:space="preserve">. </w:t>
      </w:r>
      <w:r w:rsidR="00A83681">
        <w:rPr>
          <w:rFonts w:ascii="Times New Roman" w:hAnsi="Times New Roman" w:cs="Times New Roman"/>
        </w:rPr>
        <w:t>Although there are effective risk reduction programs for college women to reduce their risk of rape (</w:t>
      </w:r>
      <w:r w:rsidR="002420C4">
        <w:rPr>
          <w:rFonts w:ascii="Times New Roman" w:hAnsi="Times New Roman" w:cs="Times New Roman"/>
        </w:rPr>
        <w:t xml:space="preserve">e.g., </w:t>
      </w:r>
      <w:r w:rsidR="00A83681">
        <w:rPr>
          <w:rFonts w:ascii="Times New Roman" w:hAnsi="Times New Roman" w:cs="Times New Roman"/>
        </w:rPr>
        <w:t>Senn et al., 2015)</w:t>
      </w:r>
      <w:r w:rsidR="007817CD">
        <w:rPr>
          <w:rFonts w:ascii="Times New Roman" w:hAnsi="Times New Roman" w:cs="Times New Roman"/>
        </w:rPr>
        <w:t>,</w:t>
      </w:r>
      <w:r w:rsidR="00A83681">
        <w:rPr>
          <w:rFonts w:ascii="Times New Roman" w:hAnsi="Times New Roman" w:cs="Times New Roman"/>
        </w:rPr>
        <w:t xml:space="preserve"> these programs have been largely developed with cisgender, heterosexual, </w:t>
      </w:r>
      <w:r w:rsidR="00A63BE0">
        <w:rPr>
          <w:rFonts w:ascii="Times New Roman" w:hAnsi="Times New Roman" w:cs="Times New Roman"/>
        </w:rPr>
        <w:t xml:space="preserve">non-Hispanic </w:t>
      </w:r>
      <w:r w:rsidR="008E29E9">
        <w:rPr>
          <w:rFonts w:ascii="Times New Roman" w:hAnsi="Times New Roman" w:cs="Times New Roman"/>
        </w:rPr>
        <w:t>W</w:t>
      </w:r>
      <w:r w:rsidR="00A83681">
        <w:rPr>
          <w:rFonts w:ascii="Times New Roman" w:hAnsi="Times New Roman" w:cs="Times New Roman"/>
        </w:rPr>
        <w:t>hite college women</w:t>
      </w:r>
      <w:r w:rsidR="007817CD">
        <w:rPr>
          <w:rFonts w:ascii="Times New Roman" w:hAnsi="Times New Roman" w:cs="Times New Roman"/>
        </w:rPr>
        <w:t>;</w:t>
      </w:r>
      <w:r w:rsidR="00452031">
        <w:rPr>
          <w:rFonts w:ascii="Times New Roman" w:hAnsi="Times New Roman" w:cs="Times New Roman"/>
        </w:rPr>
        <w:t xml:space="preserve"> </w:t>
      </w:r>
      <w:r w:rsidR="00A83681">
        <w:rPr>
          <w:rFonts w:ascii="Times New Roman" w:hAnsi="Times New Roman" w:cs="Times New Roman"/>
        </w:rPr>
        <w:t xml:space="preserve">it is unclear if they have similar acceptability among other college populations. </w:t>
      </w:r>
      <w:r w:rsidR="00E66094">
        <w:t>We use the term risk reduction to underscore the fact that those at risk of being harmed should not bear the burden of eliminating rape</w:t>
      </w:r>
      <w:r w:rsidR="0080397E">
        <w:t xml:space="preserve">. </w:t>
      </w:r>
      <w:bookmarkStart w:id="3" w:name="_Hlk160025939"/>
      <w:r w:rsidR="00A83681">
        <w:rPr>
          <w:rFonts w:ascii="Times New Roman" w:hAnsi="Times New Roman" w:cs="Times New Roman"/>
        </w:rPr>
        <w:t xml:space="preserve">Thus, the goal of this study is to examine what types of </w:t>
      </w:r>
      <w:r w:rsidR="00E66094">
        <w:rPr>
          <w:rFonts w:ascii="Times New Roman" w:hAnsi="Times New Roman" w:cs="Times New Roman"/>
        </w:rPr>
        <w:t xml:space="preserve">sexual violence risk </w:t>
      </w:r>
      <w:r w:rsidR="00A83681">
        <w:rPr>
          <w:rFonts w:ascii="Times New Roman" w:hAnsi="Times New Roman" w:cs="Times New Roman"/>
        </w:rPr>
        <w:t xml:space="preserve">reduction interventions Indigenous college students find acceptable. </w:t>
      </w:r>
      <w:bookmarkEnd w:id="3"/>
      <w:r w:rsidR="00A83681">
        <w:rPr>
          <w:rFonts w:ascii="Times New Roman" w:hAnsi="Times New Roman" w:cs="Times New Roman"/>
        </w:rPr>
        <w:t>These formative findings will inform the future development of a culturally relevant rape reduction intervention for Indigenous Peoples.</w:t>
      </w:r>
    </w:p>
    <w:p w14:paraId="3B630ED6" w14:textId="7BFBEB32" w:rsidR="00442CDF" w:rsidRPr="00442CDF" w:rsidRDefault="00442CDF" w:rsidP="00442CDF">
      <w:pPr>
        <w:ind w:firstLine="0"/>
        <w:rPr>
          <w:rFonts w:ascii="Times New Roman" w:hAnsi="Times New Roman" w:cs="Times New Roman"/>
          <w:b/>
          <w:bCs/>
        </w:rPr>
      </w:pPr>
      <w:r>
        <w:rPr>
          <w:rFonts w:ascii="Times New Roman" w:hAnsi="Times New Roman" w:cs="Times New Roman"/>
          <w:b/>
          <w:bCs/>
        </w:rPr>
        <w:t>Context of Rape against Indigenous Peoples</w:t>
      </w:r>
    </w:p>
    <w:p w14:paraId="3CB2CA89" w14:textId="7BD8F8CE" w:rsidR="0080397E" w:rsidRDefault="0080397E" w:rsidP="00317E7C">
      <w:pPr>
        <w:rPr>
          <w:rFonts w:ascii="Times New Roman" w:hAnsi="Times New Roman" w:cs="Times New Roman"/>
        </w:rPr>
      </w:pPr>
      <w:r w:rsidRPr="7BA8CD5A">
        <w:rPr>
          <w:rFonts w:ascii="Times New Roman" w:hAnsi="Times New Roman" w:cs="Times New Roman"/>
        </w:rPr>
        <w:t>There are unique patterns within the experience of sexual victimization among Indigenous Peoples</w:t>
      </w:r>
      <w:r>
        <w:rPr>
          <w:rFonts w:ascii="Times New Roman" w:hAnsi="Times New Roman" w:cs="Times New Roman"/>
        </w:rPr>
        <w:t>.</w:t>
      </w:r>
      <w:r w:rsidRPr="7BA8CD5A">
        <w:rPr>
          <w:rFonts w:ascii="Times New Roman" w:hAnsi="Times New Roman" w:cs="Times New Roman"/>
        </w:rPr>
        <w:t xml:space="preserve"> </w:t>
      </w:r>
      <w:r>
        <w:rPr>
          <w:rFonts w:ascii="Times New Roman" w:hAnsi="Times New Roman" w:cs="Times New Roman"/>
        </w:rPr>
        <w:t>M</w:t>
      </w:r>
      <w:r w:rsidRPr="7BA8CD5A">
        <w:rPr>
          <w:rFonts w:ascii="Times New Roman" w:hAnsi="Times New Roman" w:cs="Times New Roman"/>
        </w:rPr>
        <w:t>en are almost equally likely as women to be affected (Rosay, 2016), and Indigenous Peoples are the only ethnic/racial group in the U</w:t>
      </w:r>
      <w:r w:rsidR="00922258">
        <w:rPr>
          <w:rFonts w:ascii="Times New Roman" w:hAnsi="Times New Roman" w:cs="Times New Roman"/>
        </w:rPr>
        <w:t>.</w:t>
      </w:r>
      <w:r w:rsidRPr="7BA8CD5A">
        <w:rPr>
          <w:rFonts w:ascii="Times New Roman" w:hAnsi="Times New Roman" w:cs="Times New Roman"/>
        </w:rPr>
        <w:t>S</w:t>
      </w:r>
      <w:r w:rsidR="00922258">
        <w:rPr>
          <w:rFonts w:ascii="Times New Roman" w:hAnsi="Times New Roman" w:cs="Times New Roman"/>
        </w:rPr>
        <w:t>.</w:t>
      </w:r>
      <w:r w:rsidRPr="7BA8CD5A">
        <w:rPr>
          <w:rFonts w:ascii="Times New Roman" w:hAnsi="Times New Roman" w:cs="Times New Roman"/>
        </w:rPr>
        <w:t xml:space="preserve"> more likely to be assaulted by </w:t>
      </w:r>
      <w:r w:rsidRPr="7BA8CD5A">
        <w:rPr>
          <w:rFonts w:ascii="Times New Roman" w:hAnsi="Times New Roman" w:cs="Times New Roman"/>
        </w:rPr>
        <w:lastRenderedPageBreak/>
        <w:t xml:space="preserve">someone </w:t>
      </w:r>
      <w:r w:rsidRPr="7BA8CD5A">
        <w:rPr>
          <w:rFonts w:ascii="Times New Roman" w:hAnsi="Times New Roman" w:cs="Times New Roman"/>
          <w:i/>
          <w:iCs/>
        </w:rPr>
        <w:t>outside</w:t>
      </w:r>
      <w:r w:rsidRPr="7BA8CD5A">
        <w:rPr>
          <w:rFonts w:ascii="Times New Roman" w:hAnsi="Times New Roman" w:cs="Times New Roman"/>
        </w:rPr>
        <w:t xml:space="preserve"> their ethnic/racial group (Bachman et al., 2010). This pattern of outsider perpetrators is consistent with ongoing colonization</w:t>
      </w:r>
      <w:r>
        <w:rPr>
          <w:rFonts w:ascii="Times New Roman" w:hAnsi="Times New Roman" w:cs="Times New Roman"/>
        </w:rPr>
        <w:t xml:space="preserve"> and outsider-imposed limits to tribal sovereignty (Deer, 2015)</w:t>
      </w:r>
      <w:r w:rsidRPr="7BA8CD5A">
        <w:rPr>
          <w:rFonts w:ascii="Times New Roman" w:hAnsi="Times New Roman" w:cs="Times New Roman"/>
        </w:rPr>
        <w:t xml:space="preserve">. </w:t>
      </w:r>
      <w:r w:rsidR="7BA8CD5A" w:rsidRPr="7BA8CD5A">
        <w:rPr>
          <w:rFonts w:ascii="Times New Roman" w:hAnsi="Times New Roman" w:cs="Times New Roman"/>
        </w:rPr>
        <w:t>In addition to sexual violence, Indigenous Peoples are more likely to experience childhood abuse (Cole et al., 2022), intimate partner violence (Rosay, 2016), and murder (</w:t>
      </w:r>
      <w:r w:rsidR="004C754A">
        <w:rPr>
          <w:rFonts w:ascii="Times New Roman" w:hAnsi="Times New Roman" w:cs="Times New Roman"/>
        </w:rPr>
        <w:t xml:space="preserve">CDC 2018; </w:t>
      </w:r>
      <w:r w:rsidR="7BA8CD5A" w:rsidRPr="7BA8CD5A">
        <w:rPr>
          <w:rFonts w:ascii="Times New Roman" w:hAnsi="Times New Roman" w:cs="Times New Roman"/>
        </w:rPr>
        <w:t>Lucchesi &amp; Echo-Hawk, 2018)</w:t>
      </w:r>
      <w:r w:rsidR="004C754A">
        <w:rPr>
          <w:rFonts w:ascii="Times New Roman" w:hAnsi="Times New Roman" w:cs="Times New Roman"/>
        </w:rPr>
        <w:t xml:space="preserve">. </w:t>
      </w:r>
      <w:r w:rsidR="00317E7C">
        <w:rPr>
          <w:rFonts w:ascii="Times New Roman" w:hAnsi="Times New Roman" w:cs="Times New Roman"/>
        </w:rPr>
        <w:t xml:space="preserve">The many negative mental health outcomes of </w:t>
      </w:r>
      <w:r w:rsidR="004C754A">
        <w:rPr>
          <w:rFonts w:ascii="Times New Roman" w:hAnsi="Times New Roman" w:cs="Times New Roman"/>
        </w:rPr>
        <w:t>violence,</w:t>
      </w:r>
      <w:r w:rsidR="00317E7C">
        <w:rPr>
          <w:rFonts w:ascii="Times New Roman" w:hAnsi="Times New Roman" w:cs="Times New Roman"/>
        </w:rPr>
        <w:t xml:space="preserve"> beginning in childhood, including increased substance use </w:t>
      </w:r>
      <w:r w:rsidR="00317E7C" w:rsidRPr="00557F29">
        <w:rPr>
          <w:rFonts w:ascii="Times New Roman" w:hAnsi="Times New Roman" w:cs="Times New Roman"/>
        </w:rPr>
        <w:t>(Evans-Campbell et al., 2006; Landen et al., 2014)</w:t>
      </w:r>
      <w:r w:rsidR="00317E7C">
        <w:rPr>
          <w:rFonts w:ascii="Times New Roman" w:hAnsi="Times New Roman" w:cs="Times New Roman"/>
        </w:rPr>
        <w:t xml:space="preserve"> may interfere with effective participation in </w:t>
      </w:r>
      <w:r w:rsidR="004C754A">
        <w:rPr>
          <w:rFonts w:ascii="Times New Roman" w:hAnsi="Times New Roman" w:cs="Times New Roman"/>
        </w:rPr>
        <w:t xml:space="preserve">traditional </w:t>
      </w:r>
      <w:r w:rsidR="00317E7C">
        <w:rPr>
          <w:rFonts w:ascii="Times New Roman" w:hAnsi="Times New Roman" w:cs="Times New Roman"/>
        </w:rPr>
        <w:t>SVRRIs</w:t>
      </w:r>
      <w:r w:rsidR="00317E7C" w:rsidRPr="00557F29">
        <w:rPr>
          <w:rFonts w:ascii="Times New Roman" w:hAnsi="Times New Roman" w:cs="Times New Roman"/>
        </w:rPr>
        <w:t xml:space="preserve"> (Pumphrey-Gordon &amp; Gross, 2007)</w:t>
      </w:r>
      <w:r w:rsidR="00317E7C">
        <w:rPr>
          <w:rFonts w:ascii="Times New Roman" w:hAnsi="Times New Roman" w:cs="Times New Roman"/>
        </w:rPr>
        <w:t xml:space="preserve">. </w:t>
      </w:r>
      <w:r w:rsidR="7BA8CD5A" w:rsidRPr="7BA8CD5A">
        <w:rPr>
          <w:rFonts w:ascii="Times New Roman" w:hAnsi="Times New Roman" w:cs="Times New Roman"/>
        </w:rPr>
        <w:t xml:space="preserve"> </w:t>
      </w:r>
    </w:p>
    <w:p w14:paraId="6F7E48C8" w14:textId="25ACC1C6" w:rsidR="00972B31" w:rsidRPr="004731A2" w:rsidRDefault="00972B31" w:rsidP="004731A2">
      <w:pPr>
        <w:ind w:firstLine="0"/>
        <w:rPr>
          <w:rFonts w:ascii="Times New Roman" w:hAnsi="Times New Roman" w:cs="Times New Roman"/>
          <w:b/>
          <w:bCs/>
        </w:rPr>
      </w:pPr>
      <w:r w:rsidRPr="004731A2">
        <w:rPr>
          <w:b/>
          <w:bCs/>
        </w:rPr>
        <w:t>Current Sexual Victimization Risk Reduction Interventions</w:t>
      </w:r>
    </w:p>
    <w:p w14:paraId="06162B9D" w14:textId="149A220E" w:rsidR="00972B31" w:rsidRDefault="00972B31" w:rsidP="00972B31">
      <w:r>
        <w:t xml:space="preserve">Recent years have seen a boom in available, effective, risk reduction interventions </w:t>
      </w:r>
      <w:r w:rsidR="00DD4FAC">
        <w:t>for sexual violence</w:t>
      </w:r>
      <w:r w:rsidR="004C754A">
        <w:t xml:space="preserve"> for college students</w:t>
      </w:r>
      <w:r w:rsidR="00DD4FAC">
        <w:t xml:space="preserve"> </w:t>
      </w:r>
      <w:r w:rsidRPr="00972B31">
        <w:rPr>
          <w:rFonts w:ascii="Times New Roman" w:hAnsi="Times New Roman" w:cs="Times New Roman"/>
        </w:rPr>
        <w:t>(Gilmore et al., 2015; Orchowski et al., 2018; Senn et al., 2015)</w:t>
      </w:r>
      <w:r>
        <w:t xml:space="preserve">. </w:t>
      </w:r>
      <w:r w:rsidR="00A63BE0">
        <w:t>The vast majority of these interventions were developed and test</w:t>
      </w:r>
      <w:r w:rsidR="00A23E69">
        <w:t>ed</w:t>
      </w:r>
      <w:r w:rsidR="00A63BE0">
        <w:t xml:space="preserve"> with college women, who are a high</w:t>
      </w:r>
      <w:r w:rsidR="00C52D41">
        <w:t>-</w:t>
      </w:r>
      <w:r w:rsidR="00A63BE0">
        <w:t>risk group</w:t>
      </w:r>
      <w:r w:rsidR="00A23E69">
        <w:t>,</w:t>
      </w:r>
      <w:r w:rsidR="00A63BE0">
        <w:t xml:space="preserve"> due to their age and the campus context</w:t>
      </w:r>
      <w:r w:rsidR="00A60FA1">
        <w:t xml:space="preserve"> (B</w:t>
      </w:r>
      <w:r w:rsidR="00FE50E2">
        <w:t xml:space="preserve">asile </w:t>
      </w:r>
      <w:r w:rsidR="00A60FA1">
        <w:t xml:space="preserve">et al., 2022; </w:t>
      </w:r>
      <w:proofErr w:type="spellStart"/>
      <w:r w:rsidR="00A60FA1">
        <w:t>Mellins</w:t>
      </w:r>
      <w:proofErr w:type="spellEnd"/>
      <w:r w:rsidR="00A60FA1">
        <w:t xml:space="preserve"> et al., 2017).</w:t>
      </w:r>
      <w:r w:rsidR="00A63BE0">
        <w:t xml:space="preserve"> </w:t>
      </w:r>
      <w:r w:rsidR="00662979">
        <w:t>The most effective and well-studied sexual victimization risk reduction intervention (SV</w:t>
      </w:r>
      <w:r w:rsidR="00623A84">
        <w:t>R</w:t>
      </w:r>
      <w:r w:rsidR="00662979">
        <w:t>RI)</w:t>
      </w:r>
      <w:r w:rsidR="00493B76">
        <w:t>,</w:t>
      </w:r>
      <w:r w:rsidR="00A63BE0">
        <w:t xml:space="preserve"> is the </w:t>
      </w:r>
      <w:r w:rsidR="00662979">
        <w:t>Enhanced Assess, Acknowledge, Act model (</w:t>
      </w:r>
      <w:r w:rsidR="00C061DE">
        <w:t xml:space="preserve">EAAA; </w:t>
      </w:r>
      <w:r w:rsidR="00662979">
        <w:t>Senn et al., 2015</w:t>
      </w:r>
      <w:r w:rsidR="00A23E69">
        <w:t>;</w:t>
      </w:r>
      <w:r w:rsidR="00E66094">
        <w:t xml:space="preserve"> in public promotions</w:t>
      </w:r>
      <w:r w:rsidR="00A23E69">
        <w:t>,</w:t>
      </w:r>
      <w:r w:rsidR="00E66094">
        <w:t xml:space="preserve"> called </w:t>
      </w:r>
      <w:r w:rsidR="00A23E69">
        <w:t>“</w:t>
      </w:r>
      <w:r w:rsidR="00E66094">
        <w:t>Flip the Script with EAAA</w:t>
      </w:r>
      <w:r w:rsidR="00A23E69">
        <w:t>”</w:t>
      </w:r>
      <w:r w:rsidR="00662979">
        <w:t>)</w:t>
      </w:r>
      <w:r w:rsidR="00DD4FAC">
        <w:t>, which</w:t>
      </w:r>
      <w:r w:rsidR="00662979">
        <w:t xml:space="preserve"> </w:t>
      </w:r>
      <w:r w:rsidR="00493B76">
        <w:t>incorporates</w:t>
      </w:r>
      <w:r w:rsidR="00662979">
        <w:t xml:space="preserve"> a component of feminist-</w:t>
      </w:r>
      <w:r w:rsidR="00BF1C8C">
        <w:t>self-defense</w:t>
      </w:r>
      <w:r w:rsidR="00662979">
        <w:t xml:space="preserve"> </w:t>
      </w:r>
      <w:r w:rsidR="00493B76" w:rsidRPr="00493B76">
        <w:rPr>
          <w:rFonts w:ascii="Times New Roman" w:hAnsi="Times New Roman" w:cs="Times New Roman"/>
        </w:rPr>
        <w:t>(Hollander, 2018)</w:t>
      </w:r>
      <w:r w:rsidR="0008521A">
        <w:t xml:space="preserve"> as does one of the few </w:t>
      </w:r>
      <w:r w:rsidR="00623A84">
        <w:t>SVRRI</w:t>
      </w:r>
      <w:r w:rsidR="0008521A">
        <w:t xml:space="preserve">s tested with Indigenous </w:t>
      </w:r>
      <w:r w:rsidR="00A27D44">
        <w:t>youth</w:t>
      </w:r>
      <w:r w:rsidR="0008521A">
        <w:t xml:space="preserve"> </w:t>
      </w:r>
      <w:r w:rsidR="0008521A" w:rsidRPr="0008521A">
        <w:rPr>
          <w:rFonts w:ascii="Times New Roman" w:hAnsi="Times New Roman" w:cs="Times New Roman"/>
        </w:rPr>
        <w:t>(Edwards et al., 2021)</w:t>
      </w:r>
      <w:r w:rsidR="00662979">
        <w:t xml:space="preserve">. </w:t>
      </w:r>
      <w:bookmarkStart w:id="4" w:name="_Hlk160200482"/>
      <w:r w:rsidR="005540CF">
        <w:t xml:space="preserve">Other efficacious models include bystander approaches which emphasize increasing community members’ ability to recognize risky situations and intervene to protect one another. Bystander interventions can be several hours or a brief 90 minutes. Brief, one-time, alcohol use reduction interventions, often including components of motivational interviewing, have also been tested and found efficacious both in person and online modalities. </w:t>
      </w:r>
      <w:bookmarkEnd w:id="4"/>
      <w:r w:rsidR="00662979">
        <w:t>Yet</w:t>
      </w:r>
      <w:r w:rsidR="00DD4FAC">
        <w:t>,</w:t>
      </w:r>
      <w:r w:rsidR="00662979">
        <w:t xml:space="preserve"> few </w:t>
      </w:r>
      <w:r w:rsidR="00623A84">
        <w:t>SVRRI</w:t>
      </w:r>
      <w:r w:rsidR="00BE2281">
        <w:t xml:space="preserve"> </w:t>
      </w:r>
      <w:r w:rsidR="00662979">
        <w:t xml:space="preserve">studies have included Indigenous Peoples, much less brought a cultural lens to their </w:t>
      </w:r>
      <w:r w:rsidR="00662979">
        <w:lastRenderedPageBreak/>
        <w:t xml:space="preserve">participation. </w:t>
      </w:r>
      <w:r w:rsidR="00A63BE0">
        <w:t xml:space="preserve">Thus, we chose to examine acceptability of </w:t>
      </w:r>
      <w:r w:rsidR="00CC4CD7">
        <w:t xml:space="preserve">FTS with EAAA </w:t>
      </w:r>
      <w:r w:rsidR="00A63BE0">
        <w:t>specifically</w:t>
      </w:r>
      <w:r w:rsidR="00A27D44">
        <w:t xml:space="preserve"> and</w:t>
      </w:r>
      <w:r w:rsidR="00A63BE0">
        <w:t xml:space="preserve"> related </w:t>
      </w:r>
      <w:r w:rsidR="00623A84">
        <w:t>SVRRI</w:t>
      </w:r>
      <w:r w:rsidR="00A63BE0">
        <w:t>s</w:t>
      </w:r>
      <w:r w:rsidR="00A23E69">
        <w:t>, among Indigenous college students</w:t>
      </w:r>
      <w:r w:rsidR="00A63BE0">
        <w:t>.</w:t>
      </w:r>
      <w:r w:rsidR="002D0971">
        <w:t xml:space="preserve"> </w:t>
      </w:r>
    </w:p>
    <w:p w14:paraId="0A0BD469" w14:textId="3E8CD06C" w:rsidR="00662979" w:rsidRDefault="00662979" w:rsidP="00662979">
      <w:pPr>
        <w:ind w:firstLine="0"/>
        <w:rPr>
          <w:b/>
          <w:bCs/>
        </w:rPr>
      </w:pPr>
      <w:r>
        <w:rPr>
          <w:b/>
          <w:bCs/>
        </w:rPr>
        <w:t>Acceptability</w:t>
      </w:r>
      <w:r w:rsidR="003164B1">
        <w:rPr>
          <w:b/>
          <w:bCs/>
        </w:rPr>
        <w:t xml:space="preserve"> and Cultural Adaptation</w:t>
      </w:r>
    </w:p>
    <w:p w14:paraId="3C78513D" w14:textId="6B0F0463" w:rsidR="00662979" w:rsidRDefault="00662979" w:rsidP="00662979">
      <w:pPr>
        <w:ind w:firstLine="0"/>
      </w:pPr>
      <w:r>
        <w:tab/>
        <w:t>Acceptability is the participant</w:t>
      </w:r>
      <w:r w:rsidR="00DD4FAC">
        <w:t>’s</w:t>
      </w:r>
      <w:r>
        <w:t xml:space="preserve"> or patient’s cognitive and affective perceptions of a given intervention or procedure</w:t>
      </w:r>
      <w:r w:rsidR="003164B1">
        <w:t xml:space="preserve"> </w:t>
      </w:r>
      <w:r w:rsidR="003164B1" w:rsidRPr="003164B1">
        <w:rPr>
          <w:rFonts w:ascii="Times New Roman" w:hAnsi="Times New Roman" w:cs="Times New Roman"/>
        </w:rPr>
        <w:t>(Sekhon et al., 2017)</w:t>
      </w:r>
      <w:r w:rsidR="000D0BEF">
        <w:t>. Until recently</w:t>
      </w:r>
      <w:r w:rsidR="00DD4FAC">
        <w:t>,</w:t>
      </w:r>
      <w:r w:rsidR="000D0BEF">
        <w:t xml:space="preserve"> acceptability has not been a priority</w:t>
      </w:r>
      <w:r w:rsidR="00E769C0">
        <w:t xml:space="preserve"> in sexual violence research</w:t>
      </w:r>
      <w:r w:rsidR="000D0BEF">
        <w:t>; rather</w:t>
      </w:r>
      <w:r w:rsidR="00DD4FAC">
        <w:t>,</w:t>
      </w:r>
      <w:r w:rsidR="00523F25">
        <w:t xml:space="preserve"> given the lack of efficacious </w:t>
      </w:r>
      <w:r w:rsidR="00DD4FAC">
        <w:t>interventions</w:t>
      </w:r>
      <w:r w:rsidR="000D0BEF">
        <w:t xml:space="preserve">, developing </w:t>
      </w:r>
      <w:r w:rsidR="000D0BEF" w:rsidRPr="11C6D279">
        <w:rPr>
          <w:i/>
          <w:iCs/>
        </w:rPr>
        <w:t>something</w:t>
      </w:r>
      <w:r w:rsidR="000D0BEF">
        <w:t xml:space="preserve"> efficacious was the foremost consideration. However, now that at least some initial</w:t>
      </w:r>
      <w:r w:rsidR="00523F25">
        <w:t xml:space="preserve">, effective </w:t>
      </w:r>
      <w:r w:rsidR="000D0BEF">
        <w:t xml:space="preserve">components of </w:t>
      </w:r>
      <w:r w:rsidR="00623A84">
        <w:t>SVRRI</w:t>
      </w:r>
      <w:r w:rsidR="000D0BEF">
        <w:t>s have been identified</w:t>
      </w:r>
      <w:r w:rsidR="00DD4FAC">
        <w:t>,</w:t>
      </w:r>
      <w:r w:rsidR="000D0BEF">
        <w:t xml:space="preserve"> science can shift to answering Gordon Paul’s question, “what treatment, by whom, is most effective for this individual with that specific problem and under which set of circumstances?” </w:t>
      </w:r>
      <w:r w:rsidR="000D0BEF" w:rsidRPr="000D0BEF">
        <w:rPr>
          <w:rFonts w:ascii="Times New Roman" w:hAnsi="Times New Roman" w:cs="Times New Roman"/>
        </w:rPr>
        <w:t>(Paul, 1967, p. 111)</w:t>
      </w:r>
      <w:r w:rsidR="000D0BEF">
        <w:t xml:space="preserve">. We suggest that acceptability is a critical consideration for understanding </w:t>
      </w:r>
      <w:r w:rsidR="00623A84">
        <w:t>SVRRI</w:t>
      </w:r>
      <w:r w:rsidR="00BE2281">
        <w:t>s</w:t>
      </w:r>
      <w:r w:rsidR="000D0BEF">
        <w:t xml:space="preserve">, especially </w:t>
      </w:r>
      <w:r w:rsidR="00BE2281">
        <w:t xml:space="preserve">with </w:t>
      </w:r>
      <w:r w:rsidR="00DD4FAC">
        <w:t>Indigenous Peoples</w:t>
      </w:r>
      <w:r w:rsidR="000D0BEF">
        <w:t xml:space="preserve">. </w:t>
      </w:r>
    </w:p>
    <w:p w14:paraId="03271EFB" w14:textId="42FFDC84" w:rsidR="0068469C" w:rsidRDefault="000F291B" w:rsidP="00662979">
      <w:pPr>
        <w:ind w:firstLine="0"/>
      </w:pPr>
      <w:r>
        <w:tab/>
      </w:r>
      <w:r w:rsidR="00A27D44">
        <w:t>The m</w:t>
      </w:r>
      <w:r w:rsidR="00294FB6">
        <w:t>ental</w:t>
      </w:r>
      <w:r w:rsidR="0080397E">
        <w:t xml:space="preserve"> health literature suggests a</w:t>
      </w:r>
      <w:r w:rsidR="0068469C">
        <w:t xml:space="preserve"> cultural acceptability framework can potentially help </w:t>
      </w:r>
      <w:r w:rsidR="00BE2281">
        <w:t>resolve, or at least offset, existing inequities</w:t>
      </w:r>
      <w:r w:rsidR="004731A2">
        <w:t xml:space="preserve"> (Marsh et al., 2016)</w:t>
      </w:r>
      <w:r w:rsidR="00E769C0">
        <w:t>.</w:t>
      </w:r>
      <w:r w:rsidR="001830F6">
        <w:t xml:space="preserve"> </w:t>
      </w:r>
      <w:r w:rsidR="000D0BEF">
        <w:t xml:space="preserve">Further, and as in the case of Indigenous Peoples, often the nature of the problem is quite different for </w:t>
      </w:r>
      <w:r w:rsidR="00BE2281">
        <w:t xml:space="preserve">minoritized </w:t>
      </w:r>
      <w:r w:rsidR="000D0BEF">
        <w:t xml:space="preserve">groups. Because </w:t>
      </w:r>
      <w:r w:rsidR="00BE2281">
        <w:t xml:space="preserve">minoritized </w:t>
      </w:r>
      <w:r w:rsidR="000D0BEF">
        <w:t>groups</w:t>
      </w:r>
      <w:r w:rsidR="004C754A">
        <w:t xml:space="preserve"> </w:t>
      </w:r>
      <w:r w:rsidR="000D0BEF">
        <w:t xml:space="preserve">have been and continue to be excluded from research, many </w:t>
      </w:r>
      <w:r w:rsidR="00BE2281">
        <w:t>minoritized</w:t>
      </w:r>
      <w:r w:rsidR="000D0BEF">
        <w:t xml:space="preserve"> populations feel that available interventions do not apply to their needs. </w:t>
      </w:r>
      <w:r w:rsidR="0068469C">
        <w:t xml:space="preserve">The larger literature on Indigenous health provides a strong basis for examining the acceptability of any health intervention, showing that interventions that are culturally adapted </w:t>
      </w:r>
      <w:r w:rsidR="0068469C" w:rsidRPr="002830F0">
        <w:rPr>
          <w:rFonts w:ascii="Times New Roman" w:hAnsi="Times New Roman" w:cs="Times New Roman"/>
        </w:rPr>
        <w:t>(Marsh et al., 2016)</w:t>
      </w:r>
      <w:r w:rsidR="0068469C">
        <w:t xml:space="preserve">, provided by Indigenous </w:t>
      </w:r>
      <w:r w:rsidR="0069591F">
        <w:t>P</w:t>
      </w:r>
      <w:r w:rsidR="0068469C">
        <w:t>eople</w:t>
      </w:r>
      <w:r w:rsidR="0069591F">
        <w:t>s</w:t>
      </w:r>
      <w:r w:rsidR="0068469C">
        <w:t xml:space="preserve"> </w:t>
      </w:r>
      <w:r w:rsidR="0068469C" w:rsidRPr="002830F0">
        <w:rPr>
          <w:rFonts w:ascii="Times New Roman" w:hAnsi="Times New Roman" w:cs="Times New Roman"/>
        </w:rPr>
        <w:t>(Freeman et al., 2016)</w:t>
      </w:r>
      <w:r w:rsidR="0068469C">
        <w:t>, and</w:t>
      </w:r>
      <w:r w:rsidR="0069591F">
        <w:t xml:space="preserve"> </w:t>
      </w:r>
      <w:r w:rsidR="0068469C">
        <w:t xml:space="preserve">provided in Indigenous settings are preferable </w:t>
      </w:r>
      <w:r w:rsidR="0068469C" w:rsidRPr="002830F0">
        <w:rPr>
          <w:rFonts w:ascii="Times New Roman" w:hAnsi="Times New Roman" w:cs="Times New Roman"/>
        </w:rPr>
        <w:t>(Belone et al., 2017)</w:t>
      </w:r>
      <w:r w:rsidR="0068469C">
        <w:t xml:space="preserve"> and efficacious </w:t>
      </w:r>
      <w:r w:rsidR="0068469C" w:rsidRPr="002830F0">
        <w:rPr>
          <w:rFonts w:ascii="Times New Roman" w:hAnsi="Times New Roman" w:cs="Times New Roman"/>
        </w:rPr>
        <w:t>(Edwards et al., 2021)</w:t>
      </w:r>
      <w:r w:rsidR="0068469C">
        <w:t>.</w:t>
      </w:r>
    </w:p>
    <w:p w14:paraId="56334793" w14:textId="56BDAA42" w:rsidR="003164B1" w:rsidRDefault="6E997885" w:rsidP="6E997885">
      <w:r>
        <w:t xml:space="preserve">We are not aware of any available research on the comparative acceptability of SVRRIs, much less acceptability specific to Indigenous Peoples. </w:t>
      </w:r>
      <w:r w:rsidR="00440696">
        <w:t xml:space="preserve">However, available research provides </w:t>
      </w:r>
      <w:r w:rsidR="00440696">
        <w:lastRenderedPageBreak/>
        <w:t xml:space="preserve">some clues. </w:t>
      </w:r>
      <w:r w:rsidR="00A27D44">
        <w:t>A</w:t>
      </w:r>
      <w:r>
        <w:t xml:space="preserve"> series of articles documenting the development and testing of a childhood sexual abuse prevention program for Native American youth</w:t>
      </w:r>
      <w:r w:rsidR="00A27D44">
        <w:t>,</w:t>
      </w:r>
      <w:r>
        <w:t xml:space="preserve"> suggests that Indigenous communities find </w:t>
      </w:r>
      <w:r w:rsidR="008E29E9">
        <w:t xml:space="preserve">childhood sexual abuse </w:t>
      </w:r>
      <w:r>
        <w:t xml:space="preserve">prevention culturally acceptable and an important community issue </w:t>
      </w:r>
      <w:r w:rsidRPr="6E997885">
        <w:rPr>
          <w:rFonts w:ascii="Times New Roman" w:hAnsi="Times New Roman" w:cs="Times New Roman"/>
        </w:rPr>
        <w:t>(Edwards</w:t>
      </w:r>
      <w:r w:rsidR="00440696">
        <w:rPr>
          <w:rFonts w:ascii="Times New Roman" w:hAnsi="Times New Roman" w:cs="Times New Roman"/>
        </w:rPr>
        <w:t xml:space="preserve"> </w:t>
      </w:r>
      <w:r w:rsidRPr="6E997885">
        <w:rPr>
          <w:rFonts w:ascii="Times New Roman" w:hAnsi="Times New Roman" w:cs="Times New Roman"/>
        </w:rPr>
        <w:t>et al., 2022</w:t>
      </w:r>
      <w:r w:rsidR="00440696">
        <w:rPr>
          <w:rFonts w:ascii="Times New Roman" w:hAnsi="Times New Roman" w:cs="Times New Roman"/>
        </w:rPr>
        <w:t>ab</w:t>
      </w:r>
      <w:r w:rsidRPr="6E997885">
        <w:rPr>
          <w:rFonts w:ascii="Times New Roman" w:hAnsi="Times New Roman" w:cs="Times New Roman"/>
        </w:rPr>
        <w:t>)</w:t>
      </w:r>
      <w:r>
        <w:t xml:space="preserve">. Self-defense appears to be an SVRRI component that is culturally acceptable in multiple Indigenous Great Plains communities (Edwards et al., 2022; Walters, 2020) and is a primary component of the EAAA model. </w:t>
      </w:r>
      <w:r w:rsidR="00317E7C">
        <w:rPr>
          <w:rFonts w:ascii="Times New Roman" w:hAnsi="Times New Roman" w:cs="Times New Roman"/>
        </w:rPr>
        <w:t xml:space="preserve">Indigenous led, local, </w:t>
      </w:r>
      <w:r w:rsidR="00317E7C" w:rsidRPr="7BA8CD5A">
        <w:rPr>
          <w:rFonts w:ascii="Times New Roman" w:hAnsi="Times New Roman" w:cs="Times New Roman"/>
        </w:rPr>
        <w:t xml:space="preserve">self-defense </w:t>
      </w:r>
      <w:r w:rsidR="00317E7C">
        <w:rPr>
          <w:rFonts w:ascii="Times New Roman" w:hAnsi="Times New Roman" w:cs="Times New Roman"/>
        </w:rPr>
        <w:t>programs</w:t>
      </w:r>
      <w:r w:rsidR="00440696">
        <w:rPr>
          <w:rFonts w:ascii="Times New Roman" w:hAnsi="Times New Roman" w:cs="Times New Roman"/>
        </w:rPr>
        <w:t xml:space="preserve"> are historically common and remain popular across the US</w:t>
      </w:r>
      <w:r w:rsidR="00317E7C">
        <w:rPr>
          <w:rFonts w:ascii="Times New Roman" w:hAnsi="Times New Roman" w:cs="Times New Roman"/>
        </w:rPr>
        <w:t xml:space="preserve"> </w:t>
      </w:r>
      <w:r w:rsidR="00317E7C" w:rsidRPr="7BA8CD5A">
        <w:rPr>
          <w:rFonts w:ascii="Times New Roman" w:hAnsi="Times New Roman" w:cs="Times New Roman"/>
        </w:rPr>
        <w:t>(</w:t>
      </w:r>
      <w:r w:rsidR="00317E7C">
        <w:rPr>
          <w:rFonts w:ascii="Times New Roman" w:hAnsi="Times New Roman" w:cs="Times New Roman"/>
        </w:rPr>
        <w:t xml:space="preserve">Tercek, 2019; Walters, 2020). </w:t>
      </w:r>
      <w:r>
        <w:t>However, the acceptability of the EAAA model itself nor other multi-component SVRRIs have been examined to date. Given the elevated rates of substance use for many Indigenous populations (</w:t>
      </w:r>
      <w:r w:rsidRPr="6E997885">
        <w:rPr>
          <w:rFonts w:ascii="Times New Roman" w:eastAsia="Times New Roman" w:hAnsi="Times New Roman" w:cs="Times New Roman"/>
        </w:rPr>
        <w:t>Richer &amp; Roddy, 2023</w:t>
      </w:r>
      <w:r>
        <w:t>)</w:t>
      </w:r>
      <w:r w:rsidR="00440696">
        <w:t xml:space="preserve"> and on college campuses (Gilmore et al., 2015)</w:t>
      </w:r>
      <w:r>
        <w:t xml:space="preserve">, </w:t>
      </w:r>
      <w:r w:rsidR="00440696">
        <w:t xml:space="preserve">including </w:t>
      </w:r>
      <w:r>
        <w:t>a substance use component</w:t>
      </w:r>
      <w:r w:rsidR="00440696">
        <w:t xml:space="preserve"> may be important</w:t>
      </w:r>
      <w:r>
        <w:t>. Finally, given the high value of community in Indigenous culture</w:t>
      </w:r>
      <w:r w:rsidR="008E29E9">
        <w:t>s,</w:t>
      </w:r>
      <w:r>
        <w:t xml:space="preserve"> bystander intervention, which relies on changing community norms and practices rather than targeting individual behavior change</w:t>
      </w:r>
      <w:r w:rsidR="00440696">
        <w:t xml:space="preserve"> may be preferred</w:t>
      </w:r>
      <w:r>
        <w:t xml:space="preserve">. Thus, the </w:t>
      </w:r>
      <w:r w:rsidR="008E29E9">
        <w:t xml:space="preserve">four </w:t>
      </w:r>
      <w:r>
        <w:t>empirically supported SVRRIs that we examined include</w:t>
      </w:r>
      <w:r w:rsidR="008E29E9">
        <w:t>: 1)</w:t>
      </w:r>
      <w:r>
        <w:t xml:space="preserve"> Flip the Script with EAAA (FTS: Senn et al., 2015), </w:t>
      </w:r>
      <w:r w:rsidR="008E29E9">
        <w:t xml:space="preserve">2) </w:t>
      </w:r>
      <w:r>
        <w:t xml:space="preserve">Bringing in the Bystander (BITB: Edwards et al., 2019); </w:t>
      </w:r>
      <w:r w:rsidR="008E29E9">
        <w:t xml:space="preserve">3) </w:t>
      </w:r>
      <w:r>
        <w:t xml:space="preserve">Brief Drinking Intervention (BDI: Clinton-Sherrod et al., 2011), and </w:t>
      </w:r>
      <w:r w:rsidR="008E29E9">
        <w:t xml:space="preserve">4) </w:t>
      </w:r>
      <w:r>
        <w:t xml:space="preserve">Sexual Assault Risk and Alcohol Use Reduction Program (SAARR: Gilmore et al., 2015). </w:t>
      </w:r>
    </w:p>
    <w:p w14:paraId="491ED97C" w14:textId="6CA4D501" w:rsidR="00F71234" w:rsidRDefault="00F71234" w:rsidP="00662979">
      <w:pPr>
        <w:ind w:firstLine="0"/>
        <w:rPr>
          <w:b/>
          <w:bCs/>
        </w:rPr>
      </w:pPr>
      <w:r>
        <w:rPr>
          <w:b/>
          <w:bCs/>
        </w:rPr>
        <w:t>Current Study</w:t>
      </w:r>
    </w:p>
    <w:p w14:paraId="69C99943" w14:textId="521549D2" w:rsidR="00A4369F" w:rsidRDefault="00F71234" w:rsidP="00662979">
      <w:pPr>
        <w:ind w:firstLine="0"/>
      </w:pPr>
      <w:r>
        <w:tab/>
        <w:t xml:space="preserve">The current study sought to examine the acceptability of </w:t>
      </w:r>
      <w:r w:rsidR="007E1A4D">
        <w:t>self-defense</w:t>
      </w:r>
      <w:r w:rsidR="009523D6">
        <w:t xml:space="preserve"> and other empirically supported SVVRIs</w:t>
      </w:r>
      <w:r w:rsidR="007E1A4D">
        <w:t xml:space="preserve"> </w:t>
      </w:r>
      <w:r>
        <w:t xml:space="preserve">among Indigenous college students. </w:t>
      </w:r>
      <w:r w:rsidR="00BE41F4">
        <w:t xml:space="preserve">We recruited a national sample of Indigenous college students from both Tribal College and Universities (TCUs) as well as </w:t>
      </w:r>
      <w:r w:rsidR="009523D6">
        <w:t>Predominantly White Institutions (</w:t>
      </w:r>
      <w:r w:rsidR="00BE41F4">
        <w:t>PWIs</w:t>
      </w:r>
      <w:r w:rsidR="009523D6">
        <w:t>)</w:t>
      </w:r>
      <w:r w:rsidR="00BE41F4">
        <w:t xml:space="preserve"> </w:t>
      </w:r>
      <w:r w:rsidR="004731A2">
        <w:t xml:space="preserve">and </w:t>
      </w:r>
      <w:r w:rsidR="00BE41F4">
        <w:t xml:space="preserve">across different settings (e.g., urban, reserve/reservations) </w:t>
      </w:r>
      <w:r w:rsidR="00440696">
        <w:t xml:space="preserve">to be able to examine how students attending </w:t>
      </w:r>
      <w:r w:rsidR="009523D6">
        <w:t xml:space="preserve">PWIs, </w:t>
      </w:r>
      <w:r w:rsidR="00440696">
        <w:t xml:space="preserve">where they may feel </w:t>
      </w:r>
      <w:r w:rsidR="00440696">
        <w:lastRenderedPageBreak/>
        <w:t xml:space="preserve">disconnected from community bonds may experience different risks </w:t>
      </w:r>
      <w:r w:rsidR="00440696" w:rsidRPr="002830F0">
        <w:rPr>
          <w:rFonts w:ascii="Times New Roman" w:hAnsi="Times New Roman" w:cs="Times New Roman"/>
        </w:rPr>
        <w:t>(Fish et al., 2017)</w:t>
      </w:r>
      <w:r w:rsidR="00440696">
        <w:t xml:space="preserve">. We also recruited a national sample to embrace </w:t>
      </w:r>
      <w:r w:rsidR="00BE41F4" w:rsidRPr="00BE41F4">
        <w:t xml:space="preserve">the vast </w:t>
      </w:r>
      <w:r w:rsidR="00BE41F4">
        <w:t>heterogeneity</w:t>
      </w:r>
      <w:r w:rsidR="00BE41F4" w:rsidRPr="00BE41F4">
        <w:t xml:space="preserve"> of the </w:t>
      </w:r>
      <w:r w:rsidR="00BE41F4">
        <w:t xml:space="preserve">current </w:t>
      </w:r>
      <w:r w:rsidR="00BE41F4" w:rsidRPr="00BE41F4">
        <w:t>574</w:t>
      </w:r>
      <w:r w:rsidR="00440696">
        <w:t>+</w:t>
      </w:r>
      <w:r w:rsidR="00BE41F4" w:rsidRPr="00BE41F4">
        <w:t xml:space="preserve"> recognized tribes</w:t>
      </w:r>
      <w:r w:rsidR="00440696">
        <w:t xml:space="preserve"> in the US</w:t>
      </w:r>
      <w:r w:rsidR="00BE41F4" w:rsidRPr="00BE41F4">
        <w:t xml:space="preserve">, </w:t>
      </w:r>
      <w:r w:rsidR="00440696">
        <w:t>who</w:t>
      </w:r>
      <w:r w:rsidR="00BE41F4" w:rsidRPr="00BE41F4">
        <w:t xml:space="preserve"> exist and thrive as unique cultural groups (</w:t>
      </w:r>
      <w:proofErr w:type="spellStart"/>
      <w:r w:rsidR="00BE41F4" w:rsidRPr="00BE41F4">
        <w:t>Anguksuar</w:t>
      </w:r>
      <w:proofErr w:type="spellEnd"/>
      <w:r w:rsidR="00BE41F4" w:rsidRPr="00BE41F4">
        <w:t xml:space="preserve">, 1997; </w:t>
      </w:r>
      <w:r w:rsidR="001C6F78" w:rsidRPr="001C6F78">
        <w:t>Pruden</w:t>
      </w:r>
      <w:r w:rsidR="001C6F78">
        <w:t xml:space="preserve"> </w:t>
      </w:r>
      <w:r w:rsidR="001C6F78" w:rsidRPr="001C6F78">
        <w:t>&amp; Salway, 2020</w:t>
      </w:r>
      <w:r w:rsidR="00BE41F4" w:rsidRPr="00BE41F4">
        <w:t>)</w:t>
      </w:r>
      <w:r w:rsidR="00BE41F4">
        <w:t>.</w:t>
      </w:r>
      <w:r w:rsidR="0008521A">
        <w:t xml:space="preserve"> </w:t>
      </w:r>
      <w:r w:rsidR="00C81F64">
        <w:t>We included Indigenous students of all gender</w:t>
      </w:r>
      <w:r w:rsidR="00773824">
        <w:t xml:space="preserve"> identities and sexual orientations</w:t>
      </w:r>
      <w:r w:rsidR="00C81F64">
        <w:t xml:space="preserve"> given the minimal gender differences in prevalence rates (Rosay, 2016)</w:t>
      </w:r>
      <w:r w:rsidR="000F291B">
        <w:t>,</w:t>
      </w:r>
      <w:r w:rsidR="00C81F64">
        <w:t xml:space="preserve"> and Indigenous </w:t>
      </w:r>
      <w:r w:rsidR="00440696">
        <w:t>values</w:t>
      </w:r>
      <w:r w:rsidR="00706AE6">
        <w:t xml:space="preserve"> </w:t>
      </w:r>
      <w:r w:rsidR="00C81F64">
        <w:t xml:space="preserve">which are often </w:t>
      </w:r>
      <w:proofErr w:type="gramStart"/>
      <w:r w:rsidR="00C81F64">
        <w:t>gender-expansive</w:t>
      </w:r>
      <w:proofErr w:type="gramEnd"/>
      <w:r w:rsidR="00C81F64">
        <w:t xml:space="preserve"> </w:t>
      </w:r>
      <w:r w:rsidR="005851E3" w:rsidRPr="005851E3">
        <w:rPr>
          <w:rFonts w:ascii="Times New Roman" w:hAnsi="Times New Roman" w:cs="Times New Roman"/>
        </w:rPr>
        <w:t>(</w:t>
      </w:r>
      <w:proofErr w:type="spellStart"/>
      <w:r w:rsidR="005851E3" w:rsidRPr="005851E3">
        <w:rPr>
          <w:rFonts w:ascii="Times New Roman" w:hAnsi="Times New Roman" w:cs="Times New Roman"/>
        </w:rPr>
        <w:t>Anguksuar</w:t>
      </w:r>
      <w:proofErr w:type="spellEnd"/>
      <w:r w:rsidR="005851E3" w:rsidRPr="005851E3">
        <w:rPr>
          <w:rFonts w:ascii="Times New Roman" w:hAnsi="Times New Roman" w:cs="Times New Roman"/>
        </w:rPr>
        <w:t>, 1997;</w:t>
      </w:r>
      <w:r w:rsidR="001C6F78" w:rsidRPr="001C6F78">
        <w:rPr>
          <w:rFonts w:cstheme="minorHAnsi"/>
          <w:color w:val="000000"/>
          <w:kern w:val="0"/>
        </w:rPr>
        <w:t xml:space="preserve"> </w:t>
      </w:r>
      <w:r w:rsidR="001C6F78" w:rsidRPr="00AD4AB8">
        <w:rPr>
          <w:rFonts w:cstheme="minorHAnsi"/>
          <w:color w:val="000000"/>
          <w:kern w:val="0"/>
        </w:rPr>
        <w:t>Pruden &amp; Salway,</w:t>
      </w:r>
      <w:r w:rsidR="001C6F78">
        <w:rPr>
          <w:rFonts w:cstheme="minorHAnsi"/>
          <w:color w:val="000000"/>
          <w:kern w:val="0"/>
        </w:rPr>
        <w:t xml:space="preserve"> </w:t>
      </w:r>
      <w:r w:rsidR="001C6F78" w:rsidRPr="00AD4AB8">
        <w:rPr>
          <w:rFonts w:cstheme="minorHAnsi"/>
          <w:color w:val="000000"/>
          <w:kern w:val="0"/>
        </w:rPr>
        <w:t>2020).</w:t>
      </w:r>
      <w:r w:rsidR="001C6F78">
        <w:rPr>
          <w:rFonts w:cstheme="minorHAnsi"/>
          <w:color w:val="000000"/>
          <w:kern w:val="0"/>
        </w:rPr>
        <w:t xml:space="preserve"> </w:t>
      </w:r>
      <w:r w:rsidR="00D56B00">
        <w:t>We centered self-defense given the</w:t>
      </w:r>
      <w:r w:rsidR="009523D6">
        <w:t xml:space="preserve"> efficacy (</w:t>
      </w:r>
      <w:r w:rsidR="009523D6">
        <w:rPr>
          <w:rFonts w:ascii="Times New Roman" w:hAnsi="Times New Roman" w:cs="Times New Roman"/>
        </w:rPr>
        <w:t xml:space="preserve">Edwards et al., 2021; </w:t>
      </w:r>
      <w:proofErr w:type="spellStart"/>
      <w:r w:rsidR="009523D6" w:rsidRPr="00DE4AEC">
        <w:rPr>
          <w:rFonts w:ascii="Times New Roman" w:hAnsi="Times New Roman" w:cs="Times New Roman"/>
        </w:rPr>
        <w:t>Gidycz</w:t>
      </w:r>
      <w:proofErr w:type="spellEnd"/>
      <w:r w:rsidR="009523D6" w:rsidRPr="00DE4AEC">
        <w:rPr>
          <w:rFonts w:ascii="Times New Roman" w:hAnsi="Times New Roman" w:cs="Times New Roman"/>
        </w:rPr>
        <w:t xml:space="preserve"> &amp; Dardis, 2014)</w:t>
      </w:r>
      <w:r w:rsidR="009523D6">
        <w:t xml:space="preserve"> and</w:t>
      </w:r>
      <w:r w:rsidR="00D56B00">
        <w:t xml:space="preserve"> popularity of</w:t>
      </w:r>
      <w:r w:rsidR="004F2A50">
        <w:t xml:space="preserve"> it</w:t>
      </w:r>
      <w:r w:rsidR="008E29E9">
        <w:t>,</w:t>
      </w:r>
      <w:r w:rsidR="00D56B00">
        <w:t xml:space="preserve"> including in our local communities (Masked)</w:t>
      </w:r>
      <w:r w:rsidR="009523D6">
        <w:t>.</w:t>
      </w:r>
    </w:p>
    <w:p w14:paraId="084FA1FC" w14:textId="210C6E32" w:rsidR="0068469C" w:rsidRDefault="009E5E98" w:rsidP="001C3B76">
      <w:r>
        <w:t xml:space="preserve">We </w:t>
      </w:r>
      <w:r w:rsidR="009E1F18">
        <w:t xml:space="preserve">first </w:t>
      </w:r>
      <w:r>
        <w:t>hypothesize</w:t>
      </w:r>
      <w:r w:rsidR="001E0FEF">
        <w:t>d</w:t>
      </w:r>
      <w:r>
        <w:t xml:space="preserve"> that intervention</w:t>
      </w:r>
      <w:r w:rsidR="003C78FA">
        <w:t>s</w:t>
      </w:r>
      <w:r>
        <w:t xml:space="preserve"> including self-defense, </w:t>
      </w:r>
      <w:r w:rsidR="00642542">
        <w:t xml:space="preserve">such as </w:t>
      </w:r>
      <w:r w:rsidR="007E1A4D">
        <w:t>FTS</w:t>
      </w:r>
      <w:r w:rsidR="009E1F18">
        <w:t>,</w:t>
      </w:r>
      <w:r>
        <w:t xml:space="preserve"> </w:t>
      </w:r>
      <w:r w:rsidR="001E0FEF">
        <w:t xml:space="preserve">would </w:t>
      </w:r>
      <w:r>
        <w:t>be acceptable (</w:t>
      </w:r>
      <w:r w:rsidR="009E1F18">
        <w:t xml:space="preserve">H1; </w:t>
      </w:r>
      <w:r>
        <w:t>Edwards et al., 2021)</w:t>
      </w:r>
      <w:r w:rsidR="00D56B00">
        <w:t xml:space="preserve"> but no other intervention specific hypothesizes </w:t>
      </w:r>
      <w:r w:rsidR="009E1F18">
        <w:t xml:space="preserve">were proffered given the </w:t>
      </w:r>
      <w:r w:rsidR="00D56B00">
        <w:t xml:space="preserve">lack of </w:t>
      </w:r>
      <w:r w:rsidR="009E1F18">
        <w:t xml:space="preserve">prior </w:t>
      </w:r>
      <w:r w:rsidR="00D56B00">
        <w:t>data</w:t>
      </w:r>
      <w:r>
        <w:t>.</w:t>
      </w:r>
      <w:r w:rsidR="00DE4007">
        <w:t xml:space="preserve"> We analyzed acceptability in multiple ways</w:t>
      </w:r>
      <w:r w:rsidR="004731A2">
        <w:t xml:space="preserve"> considering rankings, willingness, and overall scores</w:t>
      </w:r>
      <w:r w:rsidR="00DE4007">
        <w:t xml:space="preserve">. </w:t>
      </w:r>
      <w:bookmarkStart w:id="5" w:name="_Hlk160198920"/>
      <w:r w:rsidR="00CB6BEB">
        <w:t xml:space="preserve">At this point in time, there is no empirical support to suggest which form of acceptability is most related to actual participation. Further, examining acceptability multiple ways allows us to represent the complex, “if-then”, contextual nature behind making the decision to participate in an SVRRI. For example, a participant might rate an intervention as acceptable but be unwilling to actually do it; in the abstract the intervention is a good idea but perhaps they feel they do not have the time to commit at this point in their lives. Similarly, an intervention may be highly acceptable, but not ranked as the first choice because it is a group </w:t>
      </w:r>
      <w:proofErr w:type="gramStart"/>
      <w:r w:rsidR="00CB6BEB">
        <w:t>intervention</w:t>
      </w:r>
      <w:proofErr w:type="gramEnd"/>
      <w:r w:rsidR="00CB6BEB">
        <w:t xml:space="preserve"> and that particular person has concerns about remaining anonymous at this point in their life.</w:t>
      </w:r>
      <w:bookmarkEnd w:id="5"/>
      <w:r w:rsidR="00CB6BEB">
        <w:t xml:space="preserve"> </w:t>
      </w:r>
      <w:r w:rsidR="00315A4B">
        <w:t>We also</w:t>
      </w:r>
      <w:r w:rsidR="007E1A4D">
        <w:t xml:space="preserve"> examined perceived community acceptability by</w:t>
      </w:r>
      <w:r w:rsidR="00315A4B">
        <w:t xml:space="preserve"> </w:t>
      </w:r>
      <w:r w:rsidR="007E1A4D">
        <w:t>asking</w:t>
      </w:r>
      <w:r w:rsidR="00315A4B">
        <w:t xml:space="preserve"> participants about their willingness to recommend </w:t>
      </w:r>
      <w:r w:rsidR="00BE41F4">
        <w:t xml:space="preserve">each intervention (e.g., </w:t>
      </w:r>
      <w:r w:rsidR="00315A4B">
        <w:t>Flip the Script</w:t>
      </w:r>
      <w:r w:rsidR="00BE41F4">
        <w:t>)</w:t>
      </w:r>
      <w:r w:rsidR="003C78FA">
        <w:t>; we asked</w:t>
      </w:r>
      <w:r w:rsidR="00315A4B">
        <w:t xml:space="preserve"> </w:t>
      </w:r>
      <w:r w:rsidR="003C78FA">
        <w:t xml:space="preserve">about </w:t>
      </w:r>
      <w:r w:rsidR="007E1A4D">
        <w:t>provider and intervention setting preferences</w:t>
      </w:r>
      <w:r w:rsidR="00315A4B">
        <w:t xml:space="preserve"> </w:t>
      </w:r>
      <w:r w:rsidR="0009405F">
        <w:t xml:space="preserve">to facilitate </w:t>
      </w:r>
      <w:r w:rsidR="007E1A4D">
        <w:t>future cultural adaptation</w:t>
      </w:r>
      <w:r w:rsidR="00315A4B">
        <w:t>.</w:t>
      </w:r>
      <w:r w:rsidR="00961467">
        <w:t xml:space="preserve"> We explored predictors of</w:t>
      </w:r>
      <w:r w:rsidR="00BE41F4">
        <w:t xml:space="preserve"> </w:t>
      </w:r>
      <w:r w:rsidR="00961467">
        <w:t xml:space="preserve">acceptability scores, such as </w:t>
      </w:r>
      <w:r w:rsidR="007E1A4D">
        <w:t xml:space="preserve">prior experience or </w:t>
      </w:r>
      <w:r w:rsidR="00961467">
        <w:t xml:space="preserve">time spent growing up </w:t>
      </w:r>
      <w:r w:rsidR="00961467">
        <w:lastRenderedPageBreak/>
        <w:t xml:space="preserve">on </w:t>
      </w:r>
      <w:r w:rsidR="009E1F18">
        <w:t xml:space="preserve">a </w:t>
      </w:r>
      <w:r w:rsidR="00961467">
        <w:t>reservation</w:t>
      </w:r>
      <w:r w:rsidR="00405A28">
        <w:t>,</w:t>
      </w:r>
      <w:r w:rsidR="00961467">
        <w:t xml:space="preserve"> which might make the salience of self-defense higher. Consistent with prior research (Kuhn, 2022), we hypothesized that those with previous experience of self-defense would rate the acceptability of Flip the Script more highly</w:t>
      </w:r>
      <w:r w:rsidR="004731A2">
        <w:t xml:space="preserve"> (H</w:t>
      </w:r>
      <w:r w:rsidR="009E1F18">
        <w:t>2</w:t>
      </w:r>
      <w:r w:rsidR="004731A2">
        <w:t>)</w:t>
      </w:r>
      <w:r w:rsidR="00961467">
        <w:t>.</w:t>
      </w:r>
      <w:r w:rsidR="00CC29BB">
        <w:t xml:space="preserve"> Lastly,</w:t>
      </w:r>
      <w:r>
        <w:t xml:space="preserve"> </w:t>
      </w:r>
      <w:r w:rsidR="00CC29BB">
        <w:t>w</w:t>
      </w:r>
      <w:r>
        <w:t>e hypothesize</w:t>
      </w:r>
      <w:r w:rsidR="001E0FEF">
        <w:t>d</w:t>
      </w:r>
      <w:r>
        <w:t xml:space="preserve"> that certain treatment components </w:t>
      </w:r>
      <w:r w:rsidR="001E0FEF">
        <w:t xml:space="preserve">would </w:t>
      </w:r>
      <w:r>
        <w:t>be rated more highly than others</w:t>
      </w:r>
      <w:r w:rsidR="00CC29BB">
        <w:t>;</w:t>
      </w:r>
      <w:r>
        <w:t xml:space="preserve"> namely,</w:t>
      </w:r>
      <w:r w:rsidR="00F002CD">
        <w:t xml:space="preserve"> that an intervention specifically designed for Indigenous </w:t>
      </w:r>
      <w:r w:rsidR="001E0FEF">
        <w:t>P</w:t>
      </w:r>
      <w:r w:rsidR="00F002CD">
        <w:t>eople</w:t>
      </w:r>
      <w:r w:rsidR="001E0FEF">
        <w:t xml:space="preserve">s </w:t>
      </w:r>
      <w:r w:rsidR="002A35BC">
        <w:t xml:space="preserve">and self-defense </w:t>
      </w:r>
      <w:r w:rsidR="001E0FEF">
        <w:t>would be ra</w:t>
      </w:r>
      <w:r w:rsidR="002A35BC">
        <w:t>nked</w:t>
      </w:r>
      <w:r w:rsidR="001E0FEF">
        <w:t xml:space="preserve"> </w:t>
      </w:r>
      <w:r w:rsidR="002A35BC">
        <w:t xml:space="preserve">in the top quarter </w:t>
      </w:r>
      <w:r w:rsidR="003C78FA">
        <w:t xml:space="preserve">of intervention components </w:t>
      </w:r>
      <w:r w:rsidR="002A35BC">
        <w:t>and rated more highly than</w:t>
      </w:r>
      <w:r w:rsidR="004731A2">
        <w:t xml:space="preserve"> average</w:t>
      </w:r>
      <w:r w:rsidR="00CC29BB">
        <w:t xml:space="preserve"> (H3)</w:t>
      </w:r>
      <w:r w:rsidR="002A35BC">
        <w:t>.</w:t>
      </w:r>
      <w:r w:rsidR="0094379B">
        <w:t xml:space="preserve"> </w:t>
      </w:r>
    </w:p>
    <w:p w14:paraId="5602906F" w14:textId="3F2B5CBF" w:rsidR="0068469C" w:rsidRDefault="009E5E98" w:rsidP="0068469C">
      <w:pPr>
        <w:ind w:firstLine="0"/>
        <w:jc w:val="center"/>
        <w:rPr>
          <w:b/>
          <w:bCs/>
        </w:rPr>
      </w:pPr>
      <w:r w:rsidRPr="0068469C">
        <w:rPr>
          <w:b/>
          <w:bCs/>
        </w:rPr>
        <w:t>Method</w:t>
      </w:r>
    </w:p>
    <w:p w14:paraId="345584ED" w14:textId="7D49CA90" w:rsidR="00E81978" w:rsidRPr="004731A2" w:rsidRDefault="009E5E98" w:rsidP="004731A2">
      <w:pPr>
        <w:ind w:firstLine="0"/>
        <w:rPr>
          <w:b/>
          <w:bCs/>
        </w:rPr>
      </w:pPr>
      <w:r w:rsidRPr="004731A2">
        <w:rPr>
          <w:b/>
          <w:bCs/>
        </w:rPr>
        <w:t>Participants</w:t>
      </w:r>
    </w:p>
    <w:p w14:paraId="4FD9480C" w14:textId="4C329EDD" w:rsidR="00E81978" w:rsidRDefault="009E5E98" w:rsidP="00EE58F3">
      <w:pPr>
        <w:pStyle w:val="NoSpacing"/>
        <w:ind w:firstLine="720"/>
      </w:pPr>
      <w:r>
        <w:t xml:space="preserve">Participants were </w:t>
      </w:r>
      <w:r w:rsidR="00FD128F">
        <w:t>401</w:t>
      </w:r>
      <w:r>
        <w:t xml:space="preserve"> Indigenous </w:t>
      </w:r>
      <w:r w:rsidR="00927E0A">
        <w:t xml:space="preserve">Peoples recently (i.e., within the past 5 years) or currently enrolled in </w:t>
      </w:r>
      <w:r>
        <w:t>college in North America. Canadian students were not excluded as the current national boundaries do not reflect traditional Indigenous boundaries.</w:t>
      </w:r>
      <w:r w:rsidR="009C2D04">
        <w:t xml:space="preserve"> </w:t>
      </w:r>
      <w:r w:rsidR="00614361">
        <w:t xml:space="preserve">All participants self-identified as Indigenous although </w:t>
      </w:r>
      <w:r w:rsidR="00FD128F">
        <w:t>3.0</w:t>
      </w:r>
      <w:r w:rsidR="00614361">
        <w:t xml:space="preserve">% included another ethnicity as their primary identity. </w:t>
      </w:r>
      <w:r w:rsidR="009C2D04">
        <w:t>The sample was mostly women (</w:t>
      </w:r>
      <w:r w:rsidR="00D35D85">
        <w:t>77.</w:t>
      </w:r>
      <w:r w:rsidR="00FD128F">
        <w:t>1</w:t>
      </w:r>
      <w:r w:rsidR="009C2D04">
        <w:t>%)</w:t>
      </w:r>
      <w:r w:rsidR="00A81120">
        <w:t>,</w:t>
      </w:r>
      <w:r w:rsidR="009C2D04">
        <w:t xml:space="preserve"> with significant subsamples of men (</w:t>
      </w:r>
      <w:r w:rsidR="00D35D85">
        <w:t>1</w:t>
      </w:r>
      <w:r w:rsidR="00FD128F">
        <w:t>9.7</w:t>
      </w:r>
      <w:r w:rsidR="009C2D04">
        <w:t xml:space="preserve">%) and </w:t>
      </w:r>
      <w:r w:rsidR="00927E0A">
        <w:t>Two</w:t>
      </w:r>
      <w:r w:rsidR="009C2D04">
        <w:t>-</w:t>
      </w:r>
      <w:r w:rsidR="00927E0A">
        <w:t>S</w:t>
      </w:r>
      <w:r w:rsidR="009C2D04">
        <w:t xml:space="preserve">pirit </w:t>
      </w:r>
      <w:r w:rsidR="00C053C0">
        <w:t>(5.2%) individuals</w:t>
      </w:r>
      <w:r w:rsidR="004C754A">
        <w:rPr>
          <w:rStyle w:val="FootnoteReference"/>
        </w:rPr>
        <w:footnoteReference w:id="2"/>
      </w:r>
      <w:r w:rsidR="00C053C0">
        <w:t xml:space="preserve"> </w:t>
      </w:r>
      <w:r w:rsidR="004C754A">
        <w:t>and trans and related gender identities (2.8%).</w:t>
      </w:r>
      <w:r w:rsidR="009C2D04">
        <w:t xml:space="preserve"> Most participants identified as heterosexual </w:t>
      </w:r>
      <w:r w:rsidR="00D35D85">
        <w:t>(79.</w:t>
      </w:r>
      <w:r w:rsidR="00B969C7">
        <w:t>8</w:t>
      </w:r>
      <w:r w:rsidR="009C2D04">
        <w:t xml:space="preserve">%), </w:t>
      </w:r>
      <w:r w:rsidR="003C78FA">
        <w:t>some as</w:t>
      </w:r>
      <w:r w:rsidR="009C2D04">
        <w:t xml:space="preserve"> </w:t>
      </w:r>
      <w:r w:rsidR="00927E0A">
        <w:t>Two</w:t>
      </w:r>
      <w:r w:rsidR="009C2D04">
        <w:t>-</w:t>
      </w:r>
      <w:r w:rsidR="00927E0A">
        <w:t xml:space="preserve">Spirit </w:t>
      </w:r>
      <w:r w:rsidR="00C053C0">
        <w:t xml:space="preserve">(5.2%) </w:t>
      </w:r>
      <w:r w:rsidR="009C2D04">
        <w:t>or bisexual (</w:t>
      </w:r>
      <w:r w:rsidR="00C053C0">
        <w:t>5.2</w:t>
      </w:r>
      <w:r w:rsidR="009C2D04">
        <w:t>%), 3.</w:t>
      </w:r>
      <w:r w:rsidR="00B969C7">
        <w:t>0</w:t>
      </w:r>
      <w:r w:rsidR="009C2D04">
        <w:t xml:space="preserve">% identified as asexual, </w:t>
      </w:r>
      <w:r w:rsidR="00D35D85">
        <w:t>2.</w:t>
      </w:r>
      <w:r w:rsidR="00B969C7">
        <w:t>0</w:t>
      </w:r>
      <w:r w:rsidR="009C2D04">
        <w:t>%</w:t>
      </w:r>
      <w:r w:rsidR="00A715B0">
        <w:t xml:space="preserve"> identified</w:t>
      </w:r>
      <w:r w:rsidR="009C2D04">
        <w:t xml:space="preserve"> as gay or lesbian</w:t>
      </w:r>
      <w:r w:rsidR="00A715B0">
        <w:t>,</w:t>
      </w:r>
      <w:r w:rsidR="00D35D85">
        <w:t xml:space="preserve"> and the remain</w:t>
      </w:r>
      <w:r w:rsidR="00A715B0">
        <w:t>ing sample</w:t>
      </w:r>
      <w:r w:rsidR="00D35D85">
        <w:t xml:space="preserve"> </w:t>
      </w:r>
      <w:r w:rsidR="00A715B0">
        <w:t>(</w:t>
      </w:r>
      <w:r w:rsidR="00DB0969">
        <w:t>3.8</w:t>
      </w:r>
      <w:r w:rsidR="00A715B0">
        <w:t xml:space="preserve">%) </w:t>
      </w:r>
      <w:r w:rsidR="00D35D85">
        <w:t>identif</w:t>
      </w:r>
      <w:r w:rsidR="00A715B0">
        <w:t>ied</w:t>
      </w:r>
      <w:r w:rsidR="00D35D85">
        <w:t xml:space="preserve"> as queer, fluid, questioning or another </w:t>
      </w:r>
      <w:r w:rsidR="00353777">
        <w:t xml:space="preserve">sexual orientation </w:t>
      </w:r>
      <w:r w:rsidR="00D35D85">
        <w:t>identity</w:t>
      </w:r>
      <w:r w:rsidR="009C2D04">
        <w:t xml:space="preserve">. The average age was </w:t>
      </w:r>
      <w:r w:rsidR="00D35D85">
        <w:t>24.</w:t>
      </w:r>
      <w:r w:rsidR="00FD128F">
        <w:t>4</w:t>
      </w:r>
      <w:r w:rsidR="009C2D04">
        <w:t xml:space="preserve"> years (SD</w:t>
      </w:r>
      <w:r w:rsidR="00A81120">
        <w:t xml:space="preserve"> = 4.8</w:t>
      </w:r>
      <w:r w:rsidR="004731A2">
        <w:t>, range</w:t>
      </w:r>
      <w:r w:rsidR="009C2D04">
        <w:t xml:space="preserve"> </w:t>
      </w:r>
      <w:r w:rsidR="00A81120">
        <w:t xml:space="preserve">= </w:t>
      </w:r>
      <w:r w:rsidR="009C2D04">
        <w:t>1</w:t>
      </w:r>
      <w:r w:rsidR="00A81120">
        <w:t>8</w:t>
      </w:r>
      <w:r w:rsidR="009C2D04">
        <w:t>-52</w:t>
      </w:r>
      <w:r w:rsidR="00A81120">
        <w:t xml:space="preserve"> years</w:t>
      </w:r>
      <w:r w:rsidR="004731A2">
        <w:t>)</w:t>
      </w:r>
      <w:r w:rsidR="009C2D04">
        <w:t>.</w:t>
      </w:r>
      <w:r w:rsidR="00EE58F3">
        <w:t xml:space="preserve"> </w:t>
      </w:r>
      <w:r w:rsidR="004731A2">
        <w:t>P</w:t>
      </w:r>
      <w:r w:rsidR="00D35D85">
        <w:t>articipants reported their relationship status as in a relationship with one partner (3</w:t>
      </w:r>
      <w:r w:rsidR="009D439A">
        <w:t>1</w:t>
      </w:r>
      <w:r w:rsidR="00D35D85">
        <w:t>.</w:t>
      </w:r>
      <w:r w:rsidR="00B00DFD">
        <w:t>2</w:t>
      </w:r>
      <w:r w:rsidR="00D35D85">
        <w:t>%), single (</w:t>
      </w:r>
      <w:r w:rsidR="009D439A">
        <w:t>29.2</w:t>
      </w:r>
      <w:r w:rsidR="00D35D85">
        <w:t>%</w:t>
      </w:r>
      <w:r w:rsidR="009D439A">
        <w:t>)</w:t>
      </w:r>
      <w:r w:rsidR="00D35D85">
        <w:t>, cohabitating or engaged (2</w:t>
      </w:r>
      <w:r w:rsidR="009D439A">
        <w:t>7.</w:t>
      </w:r>
      <w:r w:rsidR="00B00DFD">
        <w:t>9</w:t>
      </w:r>
      <w:r w:rsidR="00D35D85">
        <w:t>%), married (10.</w:t>
      </w:r>
      <w:r w:rsidR="009D439A">
        <w:t>2</w:t>
      </w:r>
      <w:r w:rsidR="00D35D85">
        <w:t>%)</w:t>
      </w:r>
      <w:r w:rsidR="004731A2">
        <w:t>,</w:t>
      </w:r>
      <w:r w:rsidR="00A81120">
        <w:t xml:space="preserve"> and</w:t>
      </w:r>
      <w:r w:rsidR="004731A2">
        <w:t xml:space="preserve"> </w:t>
      </w:r>
      <w:r w:rsidR="00D35D85">
        <w:t>polyamorous (1.</w:t>
      </w:r>
      <w:r w:rsidR="009D439A">
        <w:t>2</w:t>
      </w:r>
      <w:r w:rsidR="00D35D85">
        <w:t xml:space="preserve">%). </w:t>
      </w:r>
      <w:r w:rsidR="00EE58F3">
        <w:t xml:space="preserve">Most </w:t>
      </w:r>
      <w:r w:rsidR="00D35D85">
        <w:t>were currently enrolled in college (83.</w:t>
      </w:r>
      <w:r w:rsidR="009D439A">
        <w:t>5</w:t>
      </w:r>
      <w:r w:rsidR="00D35D85">
        <w:t>%)</w:t>
      </w:r>
      <w:r w:rsidR="00A715B0">
        <w:t>,</w:t>
      </w:r>
      <w:r w:rsidR="00EE58F3">
        <w:t xml:space="preserve"> </w:t>
      </w:r>
      <w:r w:rsidR="00D35D85">
        <w:t>and</w:t>
      </w:r>
      <w:r w:rsidR="00A715B0">
        <w:t xml:space="preserve"> approximately </w:t>
      </w:r>
      <w:r w:rsidR="00C52D41">
        <w:t>half of participants</w:t>
      </w:r>
      <w:r w:rsidR="00D35D85">
        <w:t xml:space="preserve"> were</w:t>
      </w:r>
      <w:r w:rsidR="002A35BC">
        <w:t xml:space="preserve"> currently</w:t>
      </w:r>
      <w:r w:rsidR="00D35D85">
        <w:t xml:space="preserve"> (2</w:t>
      </w:r>
      <w:r w:rsidR="009D439A">
        <w:t>5.2</w:t>
      </w:r>
      <w:r w:rsidR="00D35D85">
        <w:t xml:space="preserve">%) or </w:t>
      </w:r>
      <w:r w:rsidR="00C52D41">
        <w:t>previously</w:t>
      </w:r>
      <w:r w:rsidR="00D35D85">
        <w:t xml:space="preserve"> (3</w:t>
      </w:r>
      <w:r w:rsidR="009D439A">
        <w:t>1.7</w:t>
      </w:r>
      <w:r w:rsidR="00D35D85">
        <w:t xml:space="preserve">%) enrolled at a </w:t>
      </w:r>
      <w:r w:rsidR="005D5DAB">
        <w:t>TCU</w:t>
      </w:r>
      <w:r w:rsidR="00D35D85">
        <w:t xml:space="preserve">. </w:t>
      </w:r>
      <w:r w:rsidR="00D56B00">
        <w:t>Nearly</w:t>
      </w:r>
      <w:r w:rsidR="00D35D85">
        <w:t xml:space="preserve"> half </w:t>
      </w:r>
      <w:r w:rsidR="005D5DAB">
        <w:lastRenderedPageBreak/>
        <w:t xml:space="preserve">(47.1%) of the sample </w:t>
      </w:r>
      <w:r w:rsidR="00D35D85">
        <w:t>lived on or within 30 miles of a reservation</w:t>
      </w:r>
      <w:r w:rsidR="005D5DAB">
        <w:t>,</w:t>
      </w:r>
      <w:r w:rsidR="00D35D85">
        <w:t xml:space="preserve"> </w:t>
      </w:r>
      <w:r w:rsidR="00463495">
        <w:t>and the average amount of time spent growing up on the reservation was between 25-49%</w:t>
      </w:r>
      <w:r w:rsidR="00D35D85">
        <w:t>.</w:t>
      </w:r>
      <w:r w:rsidR="00EE58F3">
        <w:t xml:space="preserve"> Most considered themselves middle-class </w:t>
      </w:r>
      <w:r w:rsidR="00CC4CD7">
        <w:t>on a</w:t>
      </w:r>
      <w:r w:rsidR="00EE58F3">
        <w:t xml:space="preserve"> socioeconomic status </w:t>
      </w:r>
      <w:r w:rsidR="00463495">
        <w:t xml:space="preserve">ladder </w:t>
      </w:r>
      <w:r w:rsidR="00D35D85">
        <w:t>(M = 5.</w:t>
      </w:r>
      <w:r w:rsidR="009D439A">
        <w:t>8</w:t>
      </w:r>
      <w:r w:rsidR="00D35D85">
        <w:t xml:space="preserve"> run</w:t>
      </w:r>
      <w:r w:rsidR="00463495">
        <w:t>g</w:t>
      </w:r>
      <w:r w:rsidR="00D35D85">
        <w:t>s/10</w:t>
      </w:r>
      <w:r w:rsidR="005D5DAB">
        <w:t>;</w:t>
      </w:r>
      <w:r w:rsidR="00D35D85">
        <w:t xml:space="preserve"> SD = </w:t>
      </w:r>
      <w:r w:rsidR="00463495">
        <w:t>1.9</w:t>
      </w:r>
      <w:r w:rsidR="005D5DAB">
        <w:t>;</w:t>
      </w:r>
      <w:r w:rsidR="00463495">
        <w:t xml:space="preserve"> </w:t>
      </w:r>
      <w:r w:rsidR="00463495" w:rsidRPr="00463495">
        <w:rPr>
          <w:rFonts w:ascii="Times New Roman" w:hAnsi="Times New Roman" w:cs="Times New Roman"/>
        </w:rPr>
        <w:t>Adler et al., 2000)</w:t>
      </w:r>
      <w:r w:rsidR="00463495">
        <w:t xml:space="preserve">. </w:t>
      </w:r>
    </w:p>
    <w:p w14:paraId="20E9E681" w14:textId="77777777" w:rsidR="00524925" w:rsidRDefault="00524925" w:rsidP="00524925">
      <w:pPr>
        <w:ind w:firstLine="0"/>
        <w:rPr>
          <w:b/>
          <w:bCs/>
        </w:rPr>
      </w:pPr>
      <w:r w:rsidRPr="0068469C">
        <w:rPr>
          <w:b/>
          <w:bCs/>
        </w:rPr>
        <w:t>Procedures</w:t>
      </w:r>
    </w:p>
    <w:p w14:paraId="483CB18A" w14:textId="5D0C066D" w:rsidR="00524925" w:rsidRPr="000D2654" w:rsidRDefault="00524925" w:rsidP="00524925">
      <w:pPr>
        <w:rPr>
          <w:b/>
        </w:rPr>
      </w:pPr>
      <w:r>
        <w:t xml:space="preserve">Our study team was majority Indigenous Peoples, from multiple federally recognized tribes in the Great Plains regions of the U.S. </w:t>
      </w:r>
      <w:r w:rsidRPr="000D2654">
        <w:t>This study used a multi-method design by conducting an initial online quantitative survey to assess</w:t>
      </w:r>
      <w:r>
        <w:t xml:space="preserve"> acceptability ratings and</w:t>
      </w:r>
      <w:r w:rsidRPr="000D2654">
        <w:t xml:space="preserve"> mental health needs, followed by</w:t>
      </w:r>
      <w:r>
        <w:t xml:space="preserve"> conducting </w:t>
      </w:r>
      <w:r w:rsidRPr="000D2654">
        <w:t xml:space="preserve">qualitative interviews to complement the survey data. </w:t>
      </w:r>
      <w:r>
        <w:t xml:space="preserve">The current study focuses on quantitative acceptability ratings. </w:t>
      </w:r>
      <w:r w:rsidR="003C78FA">
        <w:t>D</w:t>
      </w:r>
      <w:r>
        <w:t>ata focused on resiliency ha</w:t>
      </w:r>
      <w:r w:rsidR="00B974B3">
        <w:t>s</w:t>
      </w:r>
      <w:r>
        <w:t xml:space="preserve"> been published (masked citation). </w:t>
      </w:r>
      <w:r w:rsidRPr="000D2654">
        <w:t xml:space="preserve">All study procedures were approved by the </w:t>
      </w:r>
      <w:r>
        <w:t xml:space="preserve">Masked </w:t>
      </w:r>
      <w:r w:rsidRPr="000D2654">
        <w:t>Institutional Review Board (</w:t>
      </w:r>
      <w:r>
        <w:t xml:space="preserve">masked </w:t>
      </w:r>
      <w:r w:rsidRPr="000D2654">
        <w:t>IRB</w:t>
      </w:r>
      <w:r>
        <w:t xml:space="preserve"> #s</w:t>
      </w:r>
      <w:r w:rsidRPr="000D2654">
        <w:t>).</w:t>
      </w:r>
      <w:r>
        <w:t xml:space="preserve"> </w:t>
      </w:r>
      <w:r w:rsidR="00B974B3">
        <w:t>After consenting, participants completed the acceptability questionnaire and then the rest of the survey elements were administered in a randomly assigned order.</w:t>
      </w:r>
    </w:p>
    <w:p w14:paraId="5B73CA55" w14:textId="6479E782" w:rsidR="00524925" w:rsidRDefault="00524925" w:rsidP="00524925">
      <w:r>
        <w:t xml:space="preserve">Data were collected from March-August 2021 with grant support from a foundation (masked NAME) and a state organization (masked NAME). </w:t>
      </w:r>
      <w:r w:rsidRPr="003474A5">
        <w:t xml:space="preserve">Inclusion criteria for the quantitative survey were that participants must: 1) self-identify as Indigenous alone or in combination with one or more races/ethnicities, 2) be at least </w:t>
      </w:r>
      <w:proofErr w:type="gramStart"/>
      <w:r w:rsidRPr="003474A5">
        <w:t>18-years-old</w:t>
      </w:r>
      <w:proofErr w:type="gramEnd"/>
      <w:r w:rsidRPr="003474A5">
        <w:t xml:space="preserve">, and 3) be currently enrolled, or have been enrolled in college within the past 5 years. </w:t>
      </w:r>
      <w:r>
        <w:t xml:space="preserve">We contacted all 8 tribal colleges and universities (TCUs) in the MASKED STATES, as well as two large PWIs in states with large Indigenous populations (UNIVERSITY 1 and UNIVERSITY 2). Four tribal colleges approved the study and forwarded our materials to student listservs. One tribal college rejected the study and three did not reply. We advertised the study as “Self-Defense for Indigenous Peoples: Sovereignty for Your Body” with Indigenous-created, compensated art, that depicted an Indigenous woman in a ribbon skirt doing a high kick (see ad: </w:t>
      </w:r>
      <w:hyperlink r:id="rId9" w:history="1">
        <w:r w:rsidRPr="007F40D8">
          <w:rPr>
            <w:rStyle w:val="Hyperlink"/>
          </w:rPr>
          <w:t>https://tinyurl.com/SDIP-osf</w:t>
        </w:r>
      </w:hyperlink>
      <w:r>
        <w:t xml:space="preserve"> ). </w:t>
      </w:r>
    </w:p>
    <w:p w14:paraId="24D461C4" w14:textId="54FD8EDB" w:rsidR="00EE58F3" w:rsidRDefault="00EE58F3" w:rsidP="00EE58F3">
      <w:pPr>
        <w:pStyle w:val="NoSpacing"/>
        <w:rPr>
          <w:b/>
          <w:bCs/>
        </w:rPr>
      </w:pPr>
      <w:r>
        <w:rPr>
          <w:b/>
          <w:bCs/>
        </w:rPr>
        <w:lastRenderedPageBreak/>
        <w:t>M</w:t>
      </w:r>
      <w:r w:rsidR="00463495">
        <w:rPr>
          <w:b/>
          <w:bCs/>
        </w:rPr>
        <w:t>aterials</w:t>
      </w:r>
    </w:p>
    <w:p w14:paraId="00844EE1" w14:textId="04CD76D6" w:rsidR="008532DE" w:rsidRPr="00302D58" w:rsidRDefault="008532DE" w:rsidP="00302D58">
      <w:pPr>
        <w:ind w:firstLine="0"/>
        <w:rPr>
          <w:b/>
          <w:bCs/>
          <w:i/>
          <w:iCs/>
        </w:rPr>
      </w:pPr>
      <w:r w:rsidRPr="00302D58">
        <w:rPr>
          <w:b/>
          <w:bCs/>
          <w:i/>
          <w:iCs/>
        </w:rPr>
        <w:t xml:space="preserve">Standardized descriptions of </w:t>
      </w:r>
      <w:r w:rsidR="00623A84">
        <w:rPr>
          <w:b/>
          <w:bCs/>
          <w:i/>
          <w:iCs/>
        </w:rPr>
        <w:t>SVRRI</w:t>
      </w:r>
      <w:r w:rsidRPr="00302D58">
        <w:rPr>
          <w:b/>
          <w:bCs/>
          <w:i/>
          <w:iCs/>
        </w:rPr>
        <w:t xml:space="preserve">s. </w:t>
      </w:r>
    </w:p>
    <w:p w14:paraId="77D1AF97" w14:textId="0BB266A6" w:rsidR="008532DE" w:rsidRDefault="008532DE" w:rsidP="008532DE">
      <w:r>
        <w:t xml:space="preserve">For this study, we provided participants with descriptions of four </w:t>
      </w:r>
      <w:r w:rsidR="00B4722B">
        <w:t>empirically</w:t>
      </w:r>
      <w:r w:rsidR="00EA3DA5">
        <w:t xml:space="preserve"> supported </w:t>
      </w:r>
      <w:r w:rsidR="00FC6D13">
        <w:t xml:space="preserve">SSRVIs </w:t>
      </w:r>
      <w:r w:rsidR="000625B5">
        <w:t>in this order:</w:t>
      </w:r>
      <w:r>
        <w:t xml:space="preserve"> </w:t>
      </w:r>
      <w:r w:rsidR="00C52D41">
        <w:t>FTS, BITB, BDI, and SAARR</w:t>
      </w:r>
      <w:r>
        <w:rPr>
          <w:rFonts w:ascii="Times New Roman" w:hAnsi="Times New Roman" w:cs="Times New Roman"/>
        </w:rPr>
        <w:t xml:space="preserve">. In selecting interventions, we sought to present a wide range of intervention characteristics, </w:t>
      </w:r>
      <w:r>
        <w:t>ensuring that we included individual (B</w:t>
      </w:r>
      <w:r w:rsidR="00C52D41">
        <w:t>DI</w:t>
      </w:r>
      <w:r>
        <w:t>) and group-format (</w:t>
      </w:r>
      <w:r w:rsidR="00C52D41">
        <w:t>FTS, BITB</w:t>
      </w:r>
      <w:r>
        <w:t>) programs</w:t>
      </w:r>
      <w:r w:rsidR="00FC6D13">
        <w:t>;</w:t>
      </w:r>
      <w:r>
        <w:t xml:space="preserve"> online (SAARR) as well as in-person (B</w:t>
      </w:r>
      <w:r w:rsidR="00C52D41">
        <w:t>ITB</w:t>
      </w:r>
      <w:r>
        <w:t>, F</w:t>
      </w:r>
      <w:r w:rsidR="00C52D41">
        <w:t>TS</w:t>
      </w:r>
      <w:r>
        <w:t>) modalities</w:t>
      </w:r>
      <w:r w:rsidR="00FC6D13">
        <w:t>;</w:t>
      </w:r>
      <w:r>
        <w:t xml:space="preserve"> programs that varied in length from very brief (SAARR, on</w:t>
      </w:r>
      <w:r w:rsidR="00C52D41">
        <w:t>e</w:t>
      </w:r>
      <w:r>
        <w:t xml:space="preserve"> hour</w:t>
      </w:r>
      <w:r w:rsidR="00A60FA1">
        <w:t xml:space="preserve"> or less</w:t>
      </w:r>
      <w:r>
        <w:t>) to longer (F</w:t>
      </w:r>
      <w:r w:rsidR="00C52D41">
        <w:t>TS</w:t>
      </w:r>
      <w:r>
        <w:t>, 12 hours)</w:t>
      </w:r>
      <w:r w:rsidR="003C78FA">
        <w:t xml:space="preserve">. </w:t>
      </w:r>
      <w:r>
        <w:t xml:space="preserve">Intervention descriptions were 306-315 words and standardized for mention </w:t>
      </w:r>
      <w:r w:rsidR="000625B5">
        <w:t>of 24</w:t>
      </w:r>
      <w:r w:rsidR="00E95528">
        <w:t xml:space="preserve"> possible</w:t>
      </w:r>
      <w:r>
        <w:t xml:space="preserve"> intervention characteristics</w:t>
      </w:r>
      <w:r w:rsidR="000625B5">
        <w:t xml:space="preserve"> drawn from theoretical and advertorial </w:t>
      </w:r>
      <w:r w:rsidR="008877EE">
        <w:t>descriptions</w:t>
      </w:r>
      <w:r w:rsidR="000625B5">
        <w:t xml:space="preserve"> of the interventions. Characteristics </w:t>
      </w:r>
      <w:r w:rsidR="00E95528">
        <w:t>includ</w:t>
      </w:r>
      <w:r w:rsidR="000625B5">
        <w:t xml:space="preserve">ed </w:t>
      </w:r>
      <w:r w:rsidR="00E95528">
        <w:t xml:space="preserve">but </w:t>
      </w:r>
      <w:proofErr w:type="gramStart"/>
      <w:r w:rsidR="00E95528">
        <w:t>not</w:t>
      </w:r>
      <w:proofErr w:type="gramEnd"/>
      <w:r w:rsidR="00E95528">
        <w:t xml:space="preserve"> limited </w:t>
      </w:r>
      <w:proofErr w:type="gramStart"/>
      <w:r w:rsidR="00E95528">
        <w:t>to</w:t>
      </w:r>
      <w:r>
        <w:t>:</w:t>
      </w:r>
      <w:proofErr w:type="gramEnd"/>
      <w:r>
        <w:t xml:space="preserve"> research support, target population, gender of facilitators, topic inclusion,</w:t>
      </w:r>
      <w:r w:rsidR="00E95528">
        <w:t xml:space="preserve"> </w:t>
      </w:r>
      <w:r>
        <w:t xml:space="preserve">types of self-defense taught (verbal, physical), and modality (in person vs. online). </w:t>
      </w:r>
      <w:r w:rsidR="00E95528">
        <w:t xml:space="preserve">The full list of </w:t>
      </w:r>
      <w:r w:rsidR="000625B5">
        <w:t>24</w:t>
      </w:r>
      <w:r w:rsidR="00E95528">
        <w:t xml:space="preserve"> characteristics is available here: </w:t>
      </w:r>
      <w:hyperlink r:id="rId10" w:history="1">
        <w:r w:rsidR="00E95528" w:rsidRPr="007F40D8">
          <w:rPr>
            <w:rStyle w:val="Hyperlink"/>
          </w:rPr>
          <w:t>https://tinyurl.com/SDIP-osf</w:t>
        </w:r>
      </w:hyperlink>
      <w:r w:rsidR="00E95528">
        <w:t>.</w:t>
      </w:r>
      <w:r>
        <w:t xml:space="preserve"> Given the focus on self-defense, all participants rated the acceptability of Flip the Script, and among participants for whom Flip the Script was not their first ranked choice, they rated their </w:t>
      </w:r>
      <w:r w:rsidR="008C4216">
        <w:t>first-choice</w:t>
      </w:r>
      <w:r>
        <w:t xml:space="preserve"> intervention.</w:t>
      </w:r>
    </w:p>
    <w:p w14:paraId="5DADC6EE" w14:textId="214B12E5" w:rsidR="00355DCA" w:rsidRPr="00E42295" w:rsidRDefault="00463495" w:rsidP="00E42295">
      <w:pPr>
        <w:pStyle w:val="Heading3"/>
        <w:ind w:firstLine="0"/>
        <w:rPr>
          <w:i/>
          <w:iCs/>
        </w:rPr>
      </w:pPr>
      <w:r w:rsidRPr="00E42295">
        <w:rPr>
          <w:i/>
          <w:iCs/>
        </w:rPr>
        <w:t xml:space="preserve">Acceptability of </w:t>
      </w:r>
      <w:r w:rsidR="00ED400D" w:rsidRPr="00E42295">
        <w:rPr>
          <w:i/>
          <w:iCs/>
        </w:rPr>
        <w:t>Sexual Victimization Risk Reduction Interventions (</w:t>
      </w:r>
      <w:r w:rsidR="00623A84">
        <w:rPr>
          <w:i/>
          <w:iCs/>
        </w:rPr>
        <w:t>SVRRI</w:t>
      </w:r>
      <w:r w:rsidRPr="00E42295">
        <w:rPr>
          <w:i/>
          <w:iCs/>
        </w:rPr>
        <w:t>s</w:t>
      </w:r>
      <w:r w:rsidR="00ED400D" w:rsidRPr="00E42295">
        <w:rPr>
          <w:i/>
          <w:iCs/>
        </w:rPr>
        <w:t>)</w:t>
      </w:r>
    </w:p>
    <w:p w14:paraId="52AC3DF3" w14:textId="3F725308" w:rsidR="00E42295" w:rsidRDefault="00463495">
      <w:r>
        <w:t xml:space="preserve">Acceptability of </w:t>
      </w:r>
      <w:r w:rsidR="00623A84">
        <w:t>SVRRI</w:t>
      </w:r>
      <w:r>
        <w:t>s was evaluated using the North Dakota Sexual Violence Intervention Acceptability Measure</w:t>
      </w:r>
      <w:r w:rsidR="00BE58F7">
        <w:t xml:space="preserve"> (NDSVIAM</w:t>
      </w:r>
      <w:r w:rsidR="005D5DAB">
        <w:t>;</w:t>
      </w:r>
      <w:r w:rsidR="00BE58F7">
        <w:t xml:space="preserve"> </w:t>
      </w:r>
      <w:r w:rsidR="00BE58F7" w:rsidRPr="00BE58F7">
        <w:rPr>
          <w:rFonts w:ascii="Times New Roman" w:hAnsi="Times New Roman" w:cs="Times New Roman"/>
        </w:rPr>
        <w:t>Anderson et al., 2022)</w:t>
      </w:r>
      <w:r>
        <w:t>.</w:t>
      </w:r>
      <w:r w:rsidR="00BE58F7">
        <w:t xml:space="preserve"> </w:t>
      </w:r>
      <w:r w:rsidR="008C6EFE">
        <w:t>Participants began the battery of acceptability questions by first reading standardized descriptions</w:t>
      </w:r>
      <w:r w:rsidR="000625B5">
        <w:t xml:space="preserve">. </w:t>
      </w:r>
      <w:r w:rsidR="002A652E">
        <w:t>S</w:t>
      </w:r>
      <w:r w:rsidR="008C6EFE">
        <w:t>econd</w:t>
      </w:r>
      <w:r w:rsidR="002A652E">
        <w:t>,</w:t>
      </w:r>
      <w:r w:rsidR="008C6EFE">
        <w:t xml:space="preserve"> they were asked to note which interventions they would be willing or not willing to participate in</w:t>
      </w:r>
      <w:r w:rsidR="002A652E">
        <w:t>.</w:t>
      </w:r>
      <w:r w:rsidR="008C6EFE">
        <w:t xml:space="preserve"> </w:t>
      </w:r>
      <w:r w:rsidR="002A652E">
        <w:t>T</w:t>
      </w:r>
      <w:r w:rsidR="008C6EFE">
        <w:t>hird</w:t>
      </w:r>
      <w:r w:rsidR="002A652E">
        <w:t>,</w:t>
      </w:r>
      <w:r w:rsidR="008C6EFE">
        <w:t xml:space="preserve"> they were asked to rank the interventions in terms of their willingness to participate, then rated the intervention they ranked </w:t>
      </w:r>
      <w:r w:rsidR="004731A2">
        <w:t>first on the NDSVIAM</w:t>
      </w:r>
      <w:r w:rsidR="008C6EFE">
        <w:t xml:space="preserve">. </w:t>
      </w:r>
      <w:r w:rsidR="002A652E">
        <w:t>F</w:t>
      </w:r>
      <w:r w:rsidR="008C6EFE">
        <w:t xml:space="preserve">inally, participants rated FTS </w:t>
      </w:r>
      <w:proofErr w:type="gramStart"/>
      <w:r w:rsidR="008C6EFE">
        <w:t>if</w:t>
      </w:r>
      <w:proofErr w:type="gramEnd"/>
      <w:r w:rsidR="008C6EFE">
        <w:t xml:space="preserve"> it was not the number one ranked intervention.</w:t>
      </w:r>
      <w:r w:rsidR="00361D30">
        <w:t xml:space="preserve"> </w:t>
      </w:r>
    </w:p>
    <w:p w14:paraId="34C79F46" w14:textId="62F48E05" w:rsidR="00ED400D" w:rsidRDefault="00BE58F7">
      <w:r w:rsidRPr="00E42295">
        <w:rPr>
          <w:b/>
          <w:bCs/>
        </w:rPr>
        <w:lastRenderedPageBreak/>
        <w:t>The NDSVIAM</w:t>
      </w:r>
      <w:r w:rsidR="00E42295" w:rsidRPr="00E42295">
        <w:rPr>
          <w:b/>
          <w:bCs/>
        </w:rPr>
        <w:t>.</w:t>
      </w:r>
      <w:r w:rsidRPr="00E42295">
        <w:t xml:space="preserve"> </w:t>
      </w:r>
      <w:r w:rsidR="00E42295" w:rsidRPr="00E42295">
        <w:t>The NDSVIAM</w:t>
      </w:r>
      <w:r w:rsidR="00E42295">
        <w:rPr>
          <w:b/>
          <w:bCs/>
        </w:rPr>
        <w:t xml:space="preserve"> </w:t>
      </w:r>
      <w:r>
        <w:t>contains 14 items assessing each component of Sekhon</w:t>
      </w:r>
      <w:r w:rsidR="00ED400D">
        <w:t>’s theoretical</w:t>
      </w:r>
      <w:r>
        <w:t xml:space="preserve"> acceptability framework</w:t>
      </w:r>
      <w:r w:rsidR="001C3B76">
        <w:t xml:space="preserve"> (Sekhon et al., 2017)</w:t>
      </w:r>
      <w:r>
        <w:t xml:space="preserve"> </w:t>
      </w:r>
      <w:r w:rsidR="008877EE">
        <w:t xml:space="preserve">and </w:t>
      </w:r>
      <w:r>
        <w:t xml:space="preserve">barriers/facilitators of participation (open-ended). </w:t>
      </w:r>
      <w:r w:rsidR="008877EE">
        <w:t>The 12 quantitative items were rated on a five-point Likert scale of “strongly disagree” to “strongly agree</w:t>
      </w:r>
      <w:r w:rsidR="00706A5E">
        <w:t>.</w:t>
      </w:r>
      <w:r w:rsidR="008877EE">
        <w:t xml:space="preserve">” </w:t>
      </w:r>
      <w:r w:rsidR="009D439A">
        <w:t>The first nine items plus the mean of the three opportunity cost items were added to create a total acceptability score</w:t>
      </w:r>
      <w:r w:rsidR="00706A5E">
        <w:t>,</w:t>
      </w:r>
      <w:r w:rsidR="00D426A1">
        <w:t xml:space="preserve"> which range</w:t>
      </w:r>
      <w:r w:rsidR="00706A5E">
        <w:t>d</w:t>
      </w:r>
      <w:r w:rsidR="00D426A1">
        <w:t xml:space="preserve"> from 10 to 50</w:t>
      </w:r>
      <w:r w:rsidR="009D439A">
        <w:t xml:space="preserve">. Acceptability scores </w:t>
      </w:r>
      <w:r w:rsidR="003474A5">
        <w:t xml:space="preserve">were </w:t>
      </w:r>
      <w:r w:rsidR="009D439A">
        <w:t xml:space="preserve">dichotomized </w:t>
      </w:r>
      <w:r w:rsidR="000D4294">
        <w:t xml:space="preserve">as </w:t>
      </w:r>
      <w:r w:rsidR="00302D58">
        <w:t xml:space="preserve">acceptable/not acceptable </w:t>
      </w:r>
      <w:r w:rsidR="000D4294">
        <w:t xml:space="preserve">if the total quantitative score was equivalent to rating </w:t>
      </w:r>
      <w:r w:rsidR="009D439A">
        <w:t>every item as neutral or greater</w:t>
      </w:r>
      <w:r w:rsidR="000D4294">
        <w:t xml:space="preserve"> (e.g., </w:t>
      </w:r>
      <w:r w:rsidR="00D426A1">
        <w:t>30</w:t>
      </w:r>
      <w:r w:rsidR="000D4294">
        <w:t>)</w:t>
      </w:r>
      <w:r w:rsidR="009D439A">
        <w:t xml:space="preserve">. </w:t>
      </w:r>
      <w:r>
        <w:t>The NDSVIAM is designed to be given anchored to a particular intervention</w:t>
      </w:r>
      <w:r w:rsidR="006E4B4C">
        <w:t>;</w:t>
      </w:r>
      <w:r>
        <w:t xml:space="preserve"> </w:t>
      </w:r>
      <w:r w:rsidR="004270C1">
        <w:t>for example</w:t>
      </w:r>
      <w:r>
        <w:t xml:space="preserve">, “How positively or negatively do you feel about Flip the Script?” </w:t>
      </w:r>
      <w:r w:rsidR="000D4294">
        <w:t xml:space="preserve">The NDSVIAM </w:t>
      </w:r>
      <w:r w:rsidR="004731A2">
        <w:t>demonstrated initial evidence of validity</w:t>
      </w:r>
      <w:r w:rsidR="006E4B4C">
        <w:t>,</w:t>
      </w:r>
      <w:r w:rsidR="004731A2">
        <w:t xml:space="preserve"> as noted by high intervention ratings in a sample of college students enrolled in a self-defense class (Anderson et al., 2022)</w:t>
      </w:r>
      <w:r w:rsidR="004270C1">
        <w:t xml:space="preserve">, </w:t>
      </w:r>
      <w:r w:rsidR="004731A2">
        <w:t>reliability</w:t>
      </w:r>
      <w:r w:rsidR="004270C1">
        <w:t xml:space="preserve"> was</w:t>
      </w:r>
      <w:r w:rsidR="004731A2">
        <w:t xml:space="preserve"> (</w:t>
      </w:r>
      <w:r w:rsidR="004731A2">
        <w:rPr>
          <w:rFonts w:cstheme="minorHAnsi"/>
        </w:rPr>
        <w:t>α</w:t>
      </w:r>
      <w:r w:rsidR="004731A2">
        <w:t xml:space="preserve"> = .8</w:t>
      </w:r>
      <w:r w:rsidR="00361D30">
        <w:t>4</w:t>
      </w:r>
      <w:r w:rsidR="004731A2">
        <w:t>) in the current sample.</w:t>
      </w:r>
      <w:r w:rsidR="00361D30">
        <w:t xml:space="preserve"> </w:t>
      </w:r>
    </w:p>
    <w:p w14:paraId="31D22ABD" w14:textId="5AF9325A" w:rsidR="00B724CB" w:rsidRDefault="00B724CB" w:rsidP="009D439A">
      <w:r>
        <w:rPr>
          <w:b/>
          <w:bCs/>
        </w:rPr>
        <w:t xml:space="preserve">Cultural context of intervention. </w:t>
      </w:r>
      <w:r w:rsidR="008877EE" w:rsidRPr="008877EE">
        <w:t xml:space="preserve">These items were administered with the NDSVIAM. </w:t>
      </w:r>
      <w:r>
        <w:t xml:space="preserve">We asked whether participants would ever recommend Flip the Script to a friend, a survivor of sexual assault, or an Indigenous survivor of sexual </w:t>
      </w:r>
      <w:r w:rsidR="00404C0B">
        <w:t>assault</w:t>
      </w:r>
      <w:r>
        <w:t xml:space="preserve"> as a proxy for perceived community acceptability. We</w:t>
      </w:r>
      <w:r w:rsidR="006E4B4C">
        <w:t xml:space="preserve"> also</w:t>
      </w:r>
      <w:r>
        <w:t xml:space="preserve"> asked participants </w:t>
      </w:r>
      <w:r w:rsidR="00404C0B">
        <w:t>a</w:t>
      </w:r>
      <w:r>
        <w:t xml:space="preserve">bout </w:t>
      </w:r>
      <w:r w:rsidR="00404C0B">
        <w:t>the</w:t>
      </w:r>
      <w:r w:rsidR="006E4B4C">
        <w:t>ir</w:t>
      </w:r>
      <w:r w:rsidR="00404C0B">
        <w:t xml:space="preserve"> preferred gender and racial</w:t>
      </w:r>
      <w:r w:rsidR="0031328E">
        <w:t>/ethnic</w:t>
      </w:r>
      <w:r w:rsidR="00404C0B">
        <w:t xml:space="preserve"> identity of providers</w:t>
      </w:r>
      <w:r w:rsidR="0031328E">
        <w:t>,</w:t>
      </w:r>
      <w:r w:rsidR="00404C0B">
        <w:t xml:space="preserve"> with a </w:t>
      </w:r>
      <w:r w:rsidR="006E4B4C">
        <w:t>“</w:t>
      </w:r>
      <w:r w:rsidR="00404C0B">
        <w:t>select all that apply</w:t>
      </w:r>
      <w:r w:rsidR="006E4B4C">
        <w:t>”</w:t>
      </w:r>
      <w:r w:rsidR="00404C0B">
        <w:t xml:space="preserve"> response format. Finally, we asked participants, “Where would you</w:t>
      </w:r>
      <w:r w:rsidR="0031328E">
        <w:t xml:space="preserve"> </w:t>
      </w:r>
      <w:r w:rsidR="00302D58">
        <w:t>prefer</w:t>
      </w:r>
      <w:r w:rsidR="00404C0B">
        <w:t xml:space="preserve"> this program [Flip the Script] be provided? with a </w:t>
      </w:r>
      <w:r w:rsidR="006E4B4C">
        <w:t>“</w:t>
      </w:r>
      <w:r w:rsidR="00404C0B">
        <w:t>select all that apply</w:t>
      </w:r>
      <w:r w:rsidR="006E4B4C">
        <w:t>”</w:t>
      </w:r>
      <w:r w:rsidR="00404C0B">
        <w:t xml:space="preserve"> response format: On my tribal lands, within my community etc</w:t>
      </w:r>
      <w:r w:rsidR="0031328E">
        <w:t>.</w:t>
      </w:r>
      <w:r w:rsidR="00404C0B">
        <w:t xml:space="preserve">/ In </w:t>
      </w:r>
      <w:r w:rsidR="0031328E">
        <w:t>traditional research</w:t>
      </w:r>
      <w:r w:rsidR="00404C0B">
        <w:t xml:space="preserve"> setting or hospital/at my school/other.</w:t>
      </w:r>
    </w:p>
    <w:p w14:paraId="3D67943A" w14:textId="4F4F2342" w:rsidR="008877EE" w:rsidRPr="00B724CB" w:rsidRDefault="008877EE" w:rsidP="008877EE">
      <w:r>
        <w:rPr>
          <w:b/>
          <w:bCs/>
        </w:rPr>
        <w:t>Intervention elements.</w:t>
      </w:r>
      <w:r>
        <w:t xml:space="preserve"> Each of the 24 intervention components from the list created to standardize intervention descriptions was rated on a five-point Likert scale from 1 (not at all important) to 5 (very important). Intervention elements were rated after the NDSVIAM. </w:t>
      </w:r>
      <w:r>
        <w:lastRenderedPageBreak/>
        <w:t>Participants were given the instruction,</w:t>
      </w:r>
      <w:r w:rsidRPr="008877EE">
        <w:rPr>
          <w:rFonts w:ascii="Times New Roman" w:hAnsi="Times New Roman" w:cs="Times New Roman"/>
        </w:rPr>
        <w:t xml:space="preserve"> “</w:t>
      </w:r>
      <w:r w:rsidRPr="008877EE">
        <w:rPr>
          <w:rFonts w:ascii="Times New Roman" w:hAnsi="Times New Roman" w:cs="Times New Roman"/>
          <w:shd w:val="clear" w:color="auto" w:fill="FFFFFF"/>
        </w:rPr>
        <w:t>How important are the below aspects for you in any program that you might participate in which helps to </w:t>
      </w:r>
      <w:r w:rsidRPr="008877EE">
        <w:rPr>
          <w:rFonts w:ascii="Times New Roman" w:hAnsi="Times New Roman" w:cs="Times New Roman"/>
          <w:b/>
          <w:bCs/>
          <w:u w:val="single"/>
          <w:shd w:val="clear" w:color="auto" w:fill="FFFFFF"/>
        </w:rPr>
        <w:t>reduce your risk of sexual violence</w:t>
      </w:r>
      <w:r w:rsidRPr="008877EE">
        <w:rPr>
          <w:rFonts w:ascii="Times New Roman" w:hAnsi="Times New Roman" w:cs="Times New Roman"/>
          <w:shd w:val="clear" w:color="auto" w:fill="FFFFFF"/>
        </w:rPr>
        <w:t>?”</w:t>
      </w:r>
    </w:p>
    <w:p w14:paraId="6C1D7E90" w14:textId="6B1846DB" w:rsidR="00C359E1" w:rsidRDefault="00C359E1" w:rsidP="00BD3FA3">
      <w:pPr>
        <w:pStyle w:val="Heading3"/>
        <w:ind w:firstLine="0"/>
        <w:rPr>
          <w:i/>
          <w:iCs/>
        </w:rPr>
      </w:pPr>
      <w:r w:rsidRPr="00BD3FA3">
        <w:rPr>
          <w:i/>
          <w:iCs/>
        </w:rPr>
        <w:t>History of Sexual Victimization</w:t>
      </w:r>
    </w:p>
    <w:p w14:paraId="202F6CCC" w14:textId="03AC5560" w:rsidR="00BD3FA3" w:rsidRPr="00F80D5E" w:rsidRDefault="00BD3FA3" w:rsidP="00F263DC">
      <w:r>
        <w:rPr>
          <w:b/>
          <w:bCs/>
        </w:rPr>
        <w:t xml:space="preserve">The </w:t>
      </w:r>
      <w:r w:rsidR="00F80D5E" w:rsidRPr="00F80D5E">
        <w:rPr>
          <w:b/>
          <w:bCs/>
        </w:rPr>
        <w:t>Sexual Experiences Survey-Short Form Victimization</w:t>
      </w:r>
      <w:r w:rsidR="00F80D5E">
        <w:rPr>
          <w:b/>
          <w:bCs/>
        </w:rPr>
        <w:t xml:space="preserve"> (</w:t>
      </w:r>
      <w:r>
        <w:rPr>
          <w:b/>
          <w:bCs/>
        </w:rPr>
        <w:t>SES-SFV</w:t>
      </w:r>
      <w:r w:rsidR="00F80D5E">
        <w:rPr>
          <w:b/>
          <w:bCs/>
        </w:rPr>
        <w:t>)</w:t>
      </w:r>
      <w:r>
        <w:rPr>
          <w:b/>
          <w:bCs/>
        </w:rPr>
        <w:t xml:space="preserve">. </w:t>
      </w:r>
      <w:r w:rsidR="00DC604D">
        <w:t xml:space="preserve">The SES-SFV contains seven compounded, </w:t>
      </w:r>
      <w:proofErr w:type="gramStart"/>
      <w:r w:rsidR="00DC604D">
        <w:t>behaviorally-specific</w:t>
      </w:r>
      <w:proofErr w:type="gramEnd"/>
      <w:r w:rsidR="00DC604D">
        <w:t xml:space="preserve"> items. Items are compound form or “grid” items in that they start with a main item stem that describes a sexual experience such as, “A man put his penis into my butt, or someone inserted fingers or objects without my consent by:” which is followed by five sub-items that described the tactic that was used to coerce the corresponding sexual behavior such as, “threatening to physically harm me or someone close to me.” Items are rated on a scale of 0, 1, 2, 3+ times for the time period of “How many times since age 14?” SES-SFV items have adequate reliability for college men and women when scored dichotomously (Anderson et al., 2018; Johnson et al., 2017) and evidence of validity </w:t>
      </w:r>
      <w:r w:rsidR="002A3B66">
        <w:t>by</w:t>
      </w:r>
      <w:r w:rsidR="00DC604D">
        <w:t xml:space="preserve"> correlations with psychological symptoms (Johnson et al., 2017) and with intimate partner victimization (Anderson et al., 2018).</w:t>
      </w:r>
      <w:r w:rsidR="00C60AB4">
        <w:t xml:space="preserve"> All participants were administered all items. </w:t>
      </w:r>
      <w:r w:rsidR="00F263DC">
        <w:t>Sexual victimization is not a latent construct because there is no internal characteristic that individuals possess that causes their victimization; rather, victimization is directly caused by another person. Thus, measures of sexual victimization are indexes of experiences and reliability would be best measured by test-retest rather than internal consistency (Koss et al., in press; Hulme, 2007).</w:t>
      </w:r>
    </w:p>
    <w:p w14:paraId="1F440032" w14:textId="7CD3F2CD" w:rsidR="00BD3FA3" w:rsidRPr="00F80D5E" w:rsidRDefault="00BD3FA3" w:rsidP="00BD3FA3">
      <w:r>
        <w:rPr>
          <w:b/>
          <w:bCs/>
        </w:rPr>
        <w:t xml:space="preserve">The </w:t>
      </w:r>
      <w:r w:rsidR="00F80D5E">
        <w:rPr>
          <w:b/>
          <w:bCs/>
        </w:rPr>
        <w:t>Childhood Trauma Questionnaire – Childhood Sexual Abuse subscale (</w:t>
      </w:r>
      <w:r>
        <w:rPr>
          <w:b/>
          <w:bCs/>
        </w:rPr>
        <w:t>CTQ-CSA</w:t>
      </w:r>
      <w:r w:rsidR="00F80D5E">
        <w:rPr>
          <w:b/>
          <w:bCs/>
        </w:rPr>
        <w:t>)</w:t>
      </w:r>
      <w:r>
        <w:rPr>
          <w:b/>
          <w:bCs/>
        </w:rPr>
        <w:t>.</w:t>
      </w:r>
      <w:r w:rsidR="00F80D5E">
        <w:rPr>
          <w:b/>
          <w:bCs/>
        </w:rPr>
        <w:t xml:space="preserve"> </w:t>
      </w:r>
      <w:r w:rsidR="00F80D5E">
        <w:t xml:space="preserve">The five item CTQ-CSA </w:t>
      </w:r>
      <w:r w:rsidR="00C60AB4">
        <w:t>items</w:t>
      </w:r>
      <w:r w:rsidR="00F80D5E">
        <w:t xml:space="preserve"> briefly describe sexual experiences “I was made to do sexual things” and are rated on a scaled response from “never true” to “very often true”. The CTQ-CSA items are correlated with clinical ratings and demonstrated high intraclass correlations over a two-week interval indicating evidence of validity and reliability in a sample of substance </w:t>
      </w:r>
      <w:r w:rsidR="00F80D5E">
        <w:lastRenderedPageBreak/>
        <w:t>use treatment seekers (Bernstein et al., 1994).</w:t>
      </w:r>
      <w:r w:rsidR="00C60AB4">
        <w:t xml:space="preserve"> The CTQ-CSA has been used repeatedly with Indigenous populations across North America to examine the relationship between childhood maltreatment and health (Koss et al., 2003; Pearson et al., 2015).</w:t>
      </w:r>
      <w:r w:rsidR="00361D30">
        <w:t xml:space="preserve"> </w:t>
      </w:r>
    </w:p>
    <w:p w14:paraId="232DE6D8" w14:textId="0154FB07" w:rsidR="00F060A0" w:rsidRDefault="00F060A0" w:rsidP="00BD3FA3">
      <w:pPr>
        <w:ind w:firstLine="0"/>
        <w:rPr>
          <w:b/>
          <w:bCs/>
          <w:i/>
          <w:iCs/>
        </w:rPr>
      </w:pPr>
      <w:r w:rsidRPr="00BD3FA3">
        <w:rPr>
          <w:b/>
          <w:bCs/>
          <w:i/>
          <w:iCs/>
        </w:rPr>
        <w:t xml:space="preserve">Prior </w:t>
      </w:r>
      <w:r w:rsidR="00BD3FA3">
        <w:rPr>
          <w:b/>
          <w:bCs/>
          <w:i/>
          <w:iCs/>
        </w:rPr>
        <w:t>Participation</w:t>
      </w:r>
      <w:r w:rsidRPr="00BD3FA3">
        <w:rPr>
          <w:b/>
          <w:bCs/>
          <w:i/>
          <w:iCs/>
        </w:rPr>
        <w:t xml:space="preserve"> with </w:t>
      </w:r>
      <w:r w:rsidR="00623A84">
        <w:rPr>
          <w:b/>
          <w:bCs/>
          <w:i/>
          <w:iCs/>
        </w:rPr>
        <w:t>SVRRI</w:t>
      </w:r>
      <w:r w:rsidRPr="00BD3FA3">
        <w:rPr>
          <w:b/>
          <w:bCs/>
          <w:i/>
          <w:iCs/>
        </w:rPr>
        <w:t xml:space="preserve">s </w:t>
      </w:r>
    </w:p>
    <w:p w14:paraId="5FAD5F07" w14:textId="68D99AC9" w:rsidR="00CF76D8" w:rsidRDefault="00BD3FA3" w:rsidP="00BD3FA3">
      <w:pPr>
        <w:ind w:firstLine="0"/>
      </w:pPr>
      <w:r>
        <w:rPr>
          <w:b/>
          <w:bCs/>
          <w:i/>
          <w:iCs/>
        </w:rPr>
        <w:tab/>
      </w:r>
      <w:r>
        <w:t xml:space="preserve">As part of the </w:t>
      </w:r>
      <w:proofErr w:type="gramStart"/>
      <w:r>
        <w:t>demographics</w:t>
      </w:r>
      <w:proofErr w:type="gramEnd"/>
      <w:r>
        <w:t xml:space="preserve"> questionnaire, participants were asked, “</w:t>
      </w:r>
      <w:r w:rsidR="0031328E">
        <w:t>H</w:t>
      </w:r>
      <w:r>
        <w:t>ave you ever learned self</w:t>
      </w:r>
      <w:r w:rsidR="0031328E">
        <w:t>-</w:t>
      </w:r>
      <w:r>
        <w:t>defense or taken a self-defense class?”</w:t>
      </w:r>
      <w:r w:rsidR="0031328E">
        <w:t>,</w:t>
      </w:r>
      <w:r>
        <w:t xml:space="preserve"> “</w:t>
      </w:r>
      <w:r w:rsidR="0031328E">
        <w:t>H</w:t>
      </w:r>
      <w:r>
        <w:t xml:space="preserve">ave you ever </w:t>
      </w:r>
      <w:r w:rsidR="00033960">
        <w:t>participated</w:t>
      </w:r>
      <w:r>
        <w:t xml:space="preserve"> in</w:t>
      </w:r>
      <w:r w:rsidR="00033960">
        <w:t xml:space="preserve"> </w:t>
      </w:r>
      <w:r>
        <w:t>a sexual assault bystander training program such as Bringing in the Bystander or GreenDot?”</w:t>
      </w:r>
      <w:r w:rsidR="0031328E">
        <w:t>,</w:t>
      </w:r>
      <w:r>
        <w:t xml:space="preserve"> and “Have you ever participated in any other type of sexual assault prevention education or training?” For affirmative responses</w:t>
      </w:r>
      <w:r w:rsidR="0031328E">
        <w:t>,</w:t>
      </w:r>
      <w:r>
        <w:t xml:space="preserve"> a five-level follow-up item asking how many hours of training they had completed for that intervention type was administered. </w:t>
      </w:r>
    </w:p>
    <w:p w14:paraId="4B18FD65" w14:textId="22AE6C78" w:rsidR="00580F91" w:rsidRDefault="00580F91" w:rsidP="00580F91">
      <w:pPr>
        <w:pStyle w:val="Heading2"/>
      </w:pPr>
      <w:r>
        <w:t>Data Cleaning</w:t>
      </w:r>
    </w:p>
    <w:p w14:paraId="11D11A0C" w14:textId="1245C21A" w:rsidR="00302D58" w:rsidRDefault="00302D58" w:rsidP="00302D58">
      <w:r>
        <w:t xml:space="preserve">Our survey link was </w:t>
      </w:r>
      <w:r w:rsidR="0026365B">
        <w:t xml:space="preserve">initiated </w:t>
      </w:r>
      <w:r>
        <w:t>by 1281 respondents</w:t>
      </w:r>
      <w:r w:rsidR="003529A6">
        <w:t xml:space="preserve">. We used </w:t>
      </w:r>
      <w:r>
        <w:t>a hierarchical series of data cleaning strategies</w:t>
      </w:r>
      <w:r w:rsidR="003529A6">
        <w:t xml:space="preserve"> to have confidence in the validity of the data</w:t>
      </w:r>
      <w:r>
        <w:t>. All respondents who did not report an Indigenous racial identity were deleted</w:t>
      </w:r>
      <w:r w:rsidR="00A32760">
        <w:t>, as well as</w:t>
      </w:r>
      <w:r>
        <w:t xml:space="preserve"> </w:t>
      </w:r>
      <w:r w:rsidR="004731A2">
        <w:t>those</w:t>
      </w:r>
      <w:r>
        <w:t xml:space="preserve"> who </w:t>
      </w:r>
      <w:r w:rsidR="004270C1">
        <w:t>did not score</w:t>
      </w:r>
      <w:r>
        <w:t xml:space="preserve"> .6</w:t>
      </w:r>
      <w:r w:rsidR="004731A2">
        <w:t>+</w:t>
      </w:r>
      <w:r w:rsidR="004270C1">
        <w:t xml:space="preserve"> on a Captcha</w:t>
      </w:r>
      <w:r>
        <w:t xml:space="preserve">. We deleted responses </w:t>
      </w:r>
      <w:r w:rsidR="008F0682">
        <w:t>where participants had completed less than 40% of the survey</w:t>
      </w:r>
      <w:r w:rsidR="004270C1">
        <w:t>.</w:t>
      </w:r>
      <w:r w:rsidR="003529A6">
        <w:t xml:space="preserve"> </w:t>
      </w:r>
      <w:r w:rsidR="0095038F">
        <w:t>D</w:t>
      </w:r>
      <w:r w:rsidR="003529A6">
        <w:t>ue to</w:t>
      </w:r>
      <w:r w:rsidR="0095038F">
        <w:t xml:space="preserve"> the acceptability block accounting for approximately 30% of the overall survey and</w:t>
      </w:r>
      <w:r w:rsidR="003529A6">
        <w:t xml:space="preserve"> survey element randomization</w:t>
      </w:r>
      <w:r w:rsidR="0095038F">
        <w:t xml:space="preserve"> after that, participants completing less than 40%</w:t>
      </w:r>
      <w:r w:rsidR="003529A6">
        <w:t xml:space="preserve"> would be unlikely they would have completed the demographics form </w:t>
      </w:r>
      <w:r w:rsidR="0095038F">
        <w:t>as one of the 12 randomized elements to confirm eligibility</w:t>
      </w:r>
      <w:r w:rsidR="008F0682">
        <w:t>. Next, we looked for suspicious IP addresses (repeated I</w:t>
      </w:r>
      <w:r w:rsidR="0095038F">
        <w:t>P</w:t>
      </w:r>
      <w:r w:rsidR="008F0682">
        <w:t>s</w:t>
      </w:r>
      <w:r w:rsidR="00D928E6">
        <w:t>, IPs outside North America</w:t>
      </w:r>
      <w:r w:rsidR="008F0682">
        <w:t xml:space="preserve">) in combination with extremely short survey durations or strange </w:t>
      </w:r>
      <w:r w:rsidR="00AD4AB8">
        <w:t>demographic response patterns</w:t>
      </w:r>
      <w:r w:rsidR="008F0682">
        <w:t>. Finally, we examined open-ended responses from</w:t>
      </w:r>
      <w:r w:rsidR="0095038F">
        <w:t xml:space="preserve"> the</w:t>
      </w:r>
      <w:r w:rsidR="008F0682">
        <w:t xml:space="preserve"> optional</w:t>
      </w:r>
      <w:r w:rsidR="0095038F">
        <w:t xml:space="preserve"> NDSVIAM</w:t>
      </w:r>
      <w:r w:rsidR="008F0682">
        <w:t xml:space="preserve"> item</w:t>
      </w:r>
      <w:r w:rsidR="00B31601">
        <w:t xml:space="preserve">s </w:t>
      </w:r>
      <w:r w:rsidR="0095038F">
        <w:t>about what might make a person likely to attend the intervention.</w:t>
      </w:r>
      <w:r w:rsidR="008F0682">
        <w:t xml:space="preserve"> </w:t>
      </w:r>
      <w:r w:rsidR="0095038F">
        <w:t>R</w:t>
      </w:r>
      <w:r w:rsidR="008F0682">
        <w:t xml:space="preserve">esponses </w:t>
      </w:r>
      <w:r w:rsidR="008F0682">
        <w:lastRenderedPageBreak/>
        <w:t>that were</w:t>
      </w:r>
      <w:r w:rsidR="0095038F">
        <w:t xml:space="preserve"> duplicative</w:t>
      </w:r>
      <w:r w:rsidR="00B31601">
        <w:t xml:space="preserve"> </w:t>
      </w:r>
      <w:r w:rsidR="008F0682">
        <w:t>or non-sensical</w:t>
      </w:r>
      <w:r w:rsidR="002A3B66">
        <w:t xml:space="preserve"> </w:t>
      </w:r>
      <w:r w:rsidR="008F0682">
        <w:t>were deleted</w:t>
      </w:r>
      <w:r w:rsidR="0049357F">
        <w:t xml:space="preserve">, </w:t>
      </w:r>
      <w:r w:rsidR="00B31601">
        <w:t xml:space="preserve">such as responses of “Everything is going well” or “Without the”. </w:t>
      </w:r>
      <w:r w:rsidR="00A32760">
        <w:t xml:space="preserve">This resulted in </w:t>
      </w:r>
      <w:r w:rsidR="001C3B76">
        <w:t>our</w:t>
      </w:r>
      <w:r w:rsidR="00A32760">
        <w:t xml:space="preserve"> final sample of 401</w:t>
      </w:r>
      <w:r w:rsidR="004270C1">
        <w:t>.</w:t>
      </w:r>
      <w:r w:rsidR="00A32760">
        <w:t xml:space="preserve"> </w:t>
      </w:r>
    </w:p>
    <w:p w14:paraId="1BAC575F" w14:textId="32D0325F" w:rsidR="006D382E" w:rsidRPr="006D382E" w:rsidRDefault="006D382E" w:rsidP="006D382E">
      <w:pPr>
        <w:ind w:firstLine="0"/>
        <w:rPr>
          <w:b/>
          <w:bCs/>
        </w:rPr>
      </w:pPr>
      <w:r>
        <w:rPr>
          <w:b/>
          <w:bCs/>
        </w:rPr>
        <w:t>Analytic Strategy</w:t>
      </w:r>
    </w:p>
    <w:p w14:paraId="14BE8523" w14:textId="1779A5D0" w:rsidR="00807127" w:rsidRDefault="006D382E" w:rsidP="00807127">
      <w:r>
        <w:t xml:space="preserve">We used chi-squares to examine whether there were differences in demographic characteristics and acceptability rates considered dichotomously. </w:t>
      </w:r>
      <w:r w:rsidR="00D52697">
        <w:t xml:space="preserve">We used ANOVAs to compare continuous acceptability scores between interventions and regressions to examine potential predictors of acceptability scores. </w:t>
      </w:r>
      <w:r w:rsidR="008877EE">
        <w:t>To test for gender and sexuality differences, w</w:t>
      </w:r>
      <w:r w:rsidR="008C6EFE">
        <w:t xml:space="preserve">e created a </w:t>
      </w:r>
      <w:r w:rsidR="0031328E">
        <w:t>six-level</w:t>
      </w:r>
      <w:r w:rsidR="008C6EFE">
        <w:t xml:space="preserve"> gender x sexual identity variable that includes all groups larger than n = 10</w:t>
      </w:r>
      <w:r w:rsidR="00D22208">
        <w:t xml:space="preserve"> (cisgender hetero</w:t>
      </w:r>
      <w:r w:rsidR="0031328E">
        <w:t>sexual</w:t>
      </w:r>
      <w:r w:rsidR="00D22208">
        <w:t xml:space="preserve"> women = 277, cisgender hetero</w:t>
      </w:r>
      <w:r w:rsidR="0031328E">
        <w:t>sexual</w:t>
      </w:r>
      <w:r w:rsidR="00D22208">
        <w:t xml:space="preserve"> men = 57,</w:t>
      </w:r>
      <w:r w:rsidR="00033960">
        <w:t xml:space="preserve"> Two-</w:t>
      </w:r>
      <w:r w:rsidR="0031328E">
        <w:t>S</w:t>
      </w:r>
      <w:r w:rsidR="00033960">
        <w:t>pirit = 30, bisexual cisgender women = 11, bisexual cisgender men = 10, asexual cisgender</w:t>
      </w:r>
      <w:r>
        <w:t xml:space="preserve"> individuals</w:t>
      </w:r>
      <w:r w:rsidR="00033960">
        <w:t xml:space="preserve"> = 11).</w:t>
      </w:r>
      <w:r w:rsidR="00D22208">
        <w:t xml:space="preserve"> </w:t>
      </w:r>
      <w:r w:rsidR="008877EE">
        <w:t>We used th</w:t>
      </w:r>
      <w:r w:rsidR="00A32760">
        <w:t>ese categories</w:t>
      </w:r>
      <w:r w:rsidR="008877EE">
        <w:t xml:space="preserve"> to detect possible </w:t>
      </w:r>
      <w:r w:rsidR="00A32760">
        <w:t xml:space="preserve">gender </w:t>
      </w:r>
      <w:r w:rsidR="008877EE">
        <w:t>effects and completed follow-up tests with simplified variables (gender, three levels; sexuality, dichotomous) to clarify findings</w:t>
      </w:r>
      <w:r w:rsidR="004270C1">
        <w:t xml:space="preserve">. </w:t>
      </w:r>
      <w:r w:rsidR="00AD4AB8">
        <w:t>W</w:t>
      </w:r>
      <w:r w:rsidR="00580F91">
        <w:t xml:space="preserve">e tested for </w:t>
      </w:r>
      <w:r w:rsidR="00AD4AB8">
        <w:t xml:space="preserve">lifetime </w:t>
      </w:r>
      <w:r w:rsidR="00580F91">
        <w:t>sexual victimization history effects dichotomously (yes/no).</w:t>
      </w:r>
      <w:r w:rsidR="005A50DA">
        <w:t xml:space="preserve"> </w:t>
      </w:r>
      <w:r w:rsidR="00A32760">
        <w:t>T</w:t>
      </w:r>
      <w:r w:rsidR="004731A2">
        <w:t xml:space="preserve">o examine differences in component ratings, we used a </w:t>
      </w:r>
      <w:r w:rsidR="004731A2" w:rsidRPr="005A50DA">
        <w:rPr>
          <w:i/>
          <w:iCs/>
        </w:rPr>
        <w:t>p</w:t>
      </w:r>
      <w:r w:rsidR="004731A2">
        <w:t xml:space="preserve"> value of .01.</w:t>
      </w:r>
      <w:r w:rsidR="004270C1">
        <w:t xml:space="preserve"> We report 95% confidence intervals (CI).</w:t>
      </w:r>
    </w:p>
    <w:p w14:paraId="51A2ECEA" w14:textId="00D9B174" w:rsidR="006D382E" w:rsidRDefault="006D382E" w:rsidP="006D382E">
      <w:pPr>
        <w:ind w:firstLine="0"/>
        <w:rPr>
          <w:b/>
          <w:bCs/>
        </w:rPr>
      </w:pPr>
      <w:r>
        <w:rPr>
          <w:b/>
          <w:bCs/>
        </w:rPr>
        <w:t>Power Analysis</w:t>
      </w:r>
    </w:p>
    <w:p w14:paraId="5AA9FD06" w14:textId="064D80EC" w:rsidR="006D382E" w:rsidRPr="006D382E" w:rsidRDefault="006D382E" w:rsidP="006D382E">
      <w:pPr>
        <w:ind w:firstLine="0"/>
      </w:pPr>
      <w:r>
        <w:rPr>
          <w:b/>
          <w:bCs/>
        </w:rPr>
        <w:tab/>
      </w:r>
      <w:r>
        <w:t xml:space="preserve">Our goal was to recruit as large a sample as </w:t>
      </w:r>
      <w:r w:rsidR="00A926BE">
        <w:t xml:space="preserve">possible </w:t>
      </w:r>
      <w:r>
        <w:t>given the heterogenous nature of Indigenous populations in North America.</w:t>
      </w:r>
      <w:r w:rsidR="00A926BE">
        <w:t xml:space="preserve"> Prior research by Kuhn (2022) reported medium to large effect sizes using the same methodology to examine bisexual women’s preferences for </w:t>
      </w:r>
      <w:r w:rsidR="00623A84">
        <w:t>SVRRI</w:t>
      </w:r>
      <w:r w:rsidR="00A926BE">
        <w:t>s. For example, in assuming a null hypothesis ratio of 50/50 odds of finding an intervention acceptable or unacceptable</w:t>
      </w:r>
      <w:r w:rsidR="00C915BD">
        <w:t>,</w:t>
      </w:r>
      <w:r w:rsidR="00A926BE">
        <w:t xml:space="preserve"> she found Cohen’s </w:t>
      </w:r>
      <w:r w:rsidR="00A926BE" w:rsidRPr="00A926BE">
        <w:rPr>
          <w:i/>
          <w:iCs/>
        </w:rPr>
        <w:t>d</w:t>
      </w:r>
      <w:r w:rsidR="00A926BE">
        <w:t xml:space="preserve"> = .69 </w:t>
      </w:r>
      <w:r w:rsidR="001E512F">
        <w:t>favoring FTS</w:t>
      </w:r>
      <w:r w:rsidR="00A926BE">
        <w:t>.</w:t>
      </w:r>
      <w:r>
        <w:t xml:space="preserve"> </w:t>
      </w:r>
      <w:r w:rsidR="00A926BE">
        <w:t xml:space="preserve">Examining differences between interventions </w:t>
      </w:r>
      <w:r w:rsidR="00AD4AB8">
        <w:t>via</w:t>
      </w:r>
      <w:r w:rsidR="00A926BE">
        <w:t xml:space="preserve"> rankings using chi-square, Kuhn (2022) found</w:t>
      </w:r>
      <w:r w:rsidR="00E347EB">
        <w:t xml:space="preserve"> </w:t>
      </w:r>
      <w:r w:rsidR="00A926BE">
        <w:t xml:space="preserve">Cohen’s </w:t>
      </w:r>
      <w:r w:rsidR="00A926BE" w:rsidRPr="001E512F">
        <w:rPr>
          <w:i/>
          <w:iCs/>
        </w:rPr>
        <w:t>d</w:t>
      </w:r>
      <w:r w:rsidR="00A926BE">
        <w:t xml:space="preserve"> of .65 favoring FTS in comparison to other interventions. Thus</w:t>
      </w:r>
      <w:r w:rsidR="001E512F">
        <w:t>,</w:t>
      </w:r>
      <w:r w:rsidR="00A926BE">
        <w:t xml:space="preserve"> in computing</w:t>
      </w:r>
      <w:r w:rsidR="00A926BE" w:rsidRPr="001E512F">
        <w:rPr>
          <w:i/>
          <w:iCs/>
        </w:rPr>
        <w:t xml:space="preserve"> a prior</w:t>
      </w:r>
      <w:r w:rsidR="001E512F" w:rsidRPr="001E512F">
        <w:rPr>
          <w:i/>
          <w:iCs/>
        </w:rPr>
        <w:t>i</w:t>
      </w:r>
      <w:r w:rsidR="00A926BE">
        <w:t xml:space="preserve"> power analyses</w:t>
      </w:r>
      <w:r w:rsidR="00516488">
        <w:t>,</w:t>
      </w:r>
      <w:r w:rsidR="00A926BE">
        <w:t xml:space="preserve"> we examined the range of effect sizes from small to medium with the effect size </w:t>
      </w:r>
      <w:r w:rsidR="00A926BE" w:rsidRPr="00A926BE">
        <w:rPr>
          <w:i/>
          <w:iCs/>
        </w:rPr>
        <w:t>w</w:t>
      </w:r>
      <w:r w:rsidR="001E512F">
        <w:rPr>
          <w:i/>
          <w:iCs/>
        </w:rPr>
        <w:t xml:space="preserve"> </w:t>
      </w:r>
      <w:r w:rsidR="001E512F">
        <w:t xml:space="preserve">in </w:t>
      </w:r>
      <w:proofErr w:type="spellStart"/>
      <w:r w:rsidR="001E512F">
        <w:lastRenderedPageBreak/>
        <w:t>GPower</w:t>
      </w:r>
      <w:proofErr w:type="spellEnd"/>
      <w:r w:rsidR="00A926BE">
        <w:t>. At a small effect size (</w:t>
      </w:r>
      <w:r w:rsidR="00A926BE" w:rsidRPr="001E512F">
        <w:rPr>
          <w:i/>
          <w:iCs/>
        </w:rPr>
        <w:t>w</w:t>
      </w:r>
      <w:r w:rsidR="00A926BE">
        <w:t xml:space="preserve"> = .1) a sample size of 401</w:t>
      </w:r>
      <w:r w:rsidR="001E512F">
        <w:t>, a B/alpha ratio of 16,</w:t>
      </w:r>
      <w:r w:rsidR="00A926BE">
        <w:t xml:space="preserve"> </w:t>
      </w:r>
      <w:proofErr w:type="spellStart"/>
      <w:r w:rsidR="00AD4AB8" w:rsidRPr="002A3B66">
        <w:rPr>
          <w:i/>
          <w:iCs/>
        </w:rPr>
        <w:t>df</w:t>
      </w:r>
      <w:proofErr w:type="spellEnd"/>
      <w:r w:rsidR="00AD4AB8">
        <w:t xml:space="preserve"> = </w:t>
      </w:r>
      <w:r w:rsidR="001E512F">
        <w:t xml:space="preserve">2, Power would be .376. However, at a medium effect size </w:t>
      </w:r>
      <w:r w:rsidR="00E347EB">
        <w:t>(</w:t>
      </w:r>
      <w:r w:rsidR="001E512F" w:rsidRPr="001E512F">
        <w:rPr>
          <w:i/>
          <w:iCs/>
        </w:rPr>
        <w:t>w</w:t>
      </w:r>
      <w:r w:rsidR="001E512F">
        <w:t xml:space="preserve"> = .3) with the same parameters, Power would be .989. Thus, our study is well</w:t>
      </w:r>
      <w:r w:rsidR="00E347EB">
        <w:t>-</w:t>
      </w:r>
      <w:r w:rsidR="001E512F">
        <w:t>powered for the expected medium effect sizes.</w:t>
      </w:r>
    </w:p>
    <w:p w14:paraId="42251050" w14:textId="4D997F89" w:rsidR="009D439A" w:rsidRPr="00807127" w:rsidRDefault="009D439A" w:rsidP="005D1B07">
      <w:pPr>
        <w:jc w:val="center"/>
        <w:rPr>
          <w:b/>
          <w:bCs/>
        </w:rPr>
      </w:pPr>
      <w:r w:rsidRPr="00807127">
        <w:rPr>
          <w:b/>
          <w:bCs/>
        </w:rPr>
        <w:t>Results</w:t>
      </w:r>
    </w:p>
    <w:p w14:paraId="19049A0F" w14:textId="77777777" w:rsidR="00BD3FA3" w:rsidRPr="000A0E89" w:rsidRDefault="00F060A0" w:rsidP="000A0E89">
      <w:pPr>
        <w:ind w:firstLine="0"/>
        <w:rPr>
          <w:b/>
          <w:bCs/>
        </w:rPr>
      </w:pPr>
      <w:r w:rsidRPr="000A0E89">
        <w:rPr>
          <w:b/>
          <w:bCs/>
        </w:rPr>
        <w:t>Descriptive Statistics</w:t>
      </w:r>
      <w:r w:rsidR="009D439A" w:rsidRPr="000A0E89">
        <w:rPr>
          <w:b/>
          <w:bCs/>
        </w:rPr>
        <w:t xml:space="preserve"> </w:t>
      </w:r>
    </w:p>
    <w:p w14:paraId="19E1638E" w14:textId="75227FE4" w:rsidR="00F060A0" w:rsidRPr="00F060A0" w:rsidRDefault="0070178C" w:rsidP="000A0E89">
      <w:pPr>
        <w:rPr>
          <w:b/>
          <w:bCs/>
        </w:rPr>
      </w:pPr>
      <w:r>
        <w:t xml:space="preserve">Considering </w:t>
      </w:r>
      <w:r w:rsidR="00123E65">
        <w:t>childhood, adolescent, or adulthood sexual victimization, 80.8% of the sample experience</w:t>
      </w:r>
      <w:r w:rsidR="005D5DAB">
        <w:t>d</w:t>
      </w:r>
      <w:r w:rsidR="00123E65">
        <w:t xml:space="preserve"> sexual victimization</w:t>
      </w:r>
      <w:r w:rsidR="00516488">
        <w:t xml:space="preserve"> in their lifetime</w:t>
      </w:r>
      <w:r w:rsidR="00123E65">
        <w:t>. Most participants reported both childhood and adolescent or adulthood victimization (e.g., developmental revictimization)</w:t>
      </w:r>
      <w:r w:rsidR="00D2214E">
        <w:t>;</w:t>
      </w:r>
      <w:r w:rsidR="00123E65">
        <w:t xml:space="preserve"> 63.1% of the entire sample.</w:t>
      </w:r>
      <w:r w:rsidR="00F060A0">
        <w:t xml:space="preserve"> </w:t>
      </w:r>
      <w:r w:rsidR="00F060A0" w:rsidRPr="00F060A0">
        <w:t>Many</w:t>
      </w:r>
      <w:r w:rsidR="00AD5F61">
        <w:t xml:space="preserve"> participants</w:t>
      </w:r>
      <w:r w:rsidR="00F060A0" w:rsidRPr="00F060A0">
        <w:t xml:space="preserve"> reported previously participating in some type of self-defense (any: 39.7%, </w:t>
      </w:r>
      <w:r w:rsidR="00F060A0" w:rsidRPr="00286C76">
        <w:rPr>
          <w:i/>
          <w:iCs/>
        </w:rPr>
        <w:t>M</w:t>
      </w:r>
      <w:r w:rsidR="00F060A0" w:rsidRPr="00F060A0">
        <w:t xml:space="preserve"> hours = 1.5), some bystander training (any: 24.2%, </w:t>
      </w:r>
      <w:r w:rsidR="00F060A0" w:rsidRPr="00286C76">
        <w:rPr>
          <w:i/>
          <w:iCs/>
        </w:rPr>
        <w:t>M</w:t>
      </w:r>
      <w:r w:rsidR="00F060A0" w:rsidRPr="00F060A0">
        <w:t xml:space="preserve"> hours = 2.3), and other types of sexual assault prevention education or training (any: 22.7%, </w:t>
      </w:r>
      <w:r w:rsidR="00F060A0" w:rsidRPr="00286C76">
        <w:rPr>
          <w:i/>
          <w:iCs/>
        </w:rPr>
        <w:t xml:space="preserve">M </w:t>
      </w:r>
      <w:r w:rsidR="00F060A0" w:rsidRPr="00F060A0">
        <w:t>hours = 2.3).</w:t>
      </w:r>
    </w:p>
    <w:p w14:paraId="5D810583" w14:textId="6096E79F" w:rsidR="009D439A" w:rsidRDefault="00546366" w:rsidP="009D439A">
      <w:pPr>
        <w:pStyle w:val="Heading2"/>
      </w:pPr>
      <w:r>
        <w:t>Acceptability of Available Interventions</w:t>
      </w:r>
    </w:p>
    <w:p w14:paraId="59A72C85" w14:textId="5D58DA2B" w:rsidR="00807127" w:rsidRDefault="00546366" w:rsidP="00807127">
      <w:pPr>
        <w:pStyle w:val="Heading3"/>
        <w:ind w:firstLine="0"/>
        <w:rPr>
          <w:i/>
          <w:iCs/>
        </w:rPr>
      </w:pPr>
      <w:r w:rsidRPr="00BD3FA3">
        <w:rPr>
          <w:i/>
          <w:iCs/>
        </w:rPr>
        <w:t>Ranking</w:t>
      </w:r>
      <w:r w:rsidR="000A0E89">
        <w:rPr>
          <w:i/>
          <w:iCs/>
        </w:rPr>
        <w:t>s</w:t>
      </w:r>
    </w:p>
    <w:p w14:paraId="569A04D1" w14:textId="59E9827A" w:rsidR="0031328E" w:rsidRDefault="00033960" w:rsidP="000A0E89">
      <w:r>
        <w:t>Considering the entire sample, t</w:t>
      </w:r>
      <w:r w:rsidR="00A55B96">
        <w:t xml:space="preserve">he intervention most frequently ranked </w:t>
      </w:r>
      <w:r w:rsidR="005D5DAB">
        <w:t xml:space="preserve">as </w:t>
      </w:r>
      <w:r w:rsidR="00A55B96">
        <w:t xml:space="preserve">first choice was </w:t>
      </w:r>
      <w:r w:rsidR="00124D03">
        <w:t>SAARR</w:t>
      </w:r>
      <w:r w:rsidR="00A55B96">
        <w:t xml:space="preserve">, which was ranked </w:t>
      </w:r>
      <w:r w:rsidR="003C78FA">
        <w:t xml:space="preserve">#1 </w:t>
      </w:r>
      <w:r w:rsidR="00A55B96">
        <w:t xml:space="preserve">significantly more often than any of the other three interventions </w:t>
      </w:r>
      <w:r w:rsidR="0031328E">
        <w:t>(</w:t>
      </w:r>
      <w:r w:rsidR="00A55B96">
        <w:t>Table 1</w:t>
      </w:r>
      <w:r w:rsidR="0031328E">
        <w:t>)</w:t>
      </w:r>
      <w:r w:rsidR="00A55B96">
        <w:t xml:space="preserve">. </w:t>
      </w:r>
      <w:r w:rsidR="008905FF">
        <w:t>T</w:t>
      </w:r>
      <w:r w:rsidR="000E4ABB">
        <w:t xml:space="preserve">here was </w:t>
      </w:r>
      <w:r w:rsidR="001C45D5">
        <w:t>a significant</w:t>
      </w:r>
      <w:r w:rsidR="000E4ABB">
        <w:t xml:space="preserve"> effect of victimization history</w:t>
      </w:r>
      <w:r w:rsidR="00CC6E7D">
        <w:t xml:space="preserve"> on rankings</w:t>
      </w:r>
      <w:r w:rsidR="000E4ABB">
        <w:t xml:space="preserve"> (</w:t>
      </w:r>
      <w:r w:rsidR="000E4ABB">
        <w:rPr>
          <w:rFonts w:cstheme="majorHAnsi"/>
        </w:rPr>
        <w:t>χ</w:t>
      </w:r>
      <w:r w:rsidR="000E4ABB" w:rsidRPr="00580F91">
        <w:rPr>
          <w:vertAlign w:val="superscript"/>
        </w:rPr>
        <w:t>2</w:t>
      </w:r>
      <w:r w:rsidR="000E4ABB">
        <w:t xml:space="preserve">(3) = </w:t>
      </w:r>
      <w:r w:rsidR="000E4ABB" w:rsidRPr="00C43726">
        <w:t xml:space="preserve">8.59, </w:t>
      </w:r>
      <w:r w:rsidR="000E4ABB" w:rsidRPr="00C43726">
        <w:rPr>
          <w:i/>
          <w:iCs/>
        </w:rPr>
        <w:t>p</w:t>
      </w:r>
      <w:r w:rsidR="000E4ABB" w:rsidRPr="00C43726">
        <w:t xml:space="preserve"> = .035, phi = .15, </w:t>
      </w:r>
      <w:r w:rsidR="000E4ABB" w:rsidRPr="00C43726">
        <w:rPr>
          <w:i/>
          <w:iCs/>
        </w:rPr>
        <w:t xml:space="preserve">d </w:t>
      </w:r>
      <w:r w:rsidR="000E4ABB" w:rsidRPr="00C43726">
        <w:t>= .30</w:t>
      </w:r>
      <w:r w:rsidR="000E4ABB">
        <w:t>)</w:t>
      </w:r>
      <w:r w:rsidR="00CC6E7D">
        <w:t>, such that</w:t>
      </w:r>
      <w:r w:rsidR="001C45D5">
        <w:t xml:space="preserve"> participants with victimization ranked FTS first more frequently than those without victimization history (</w:t>
      </w:r>
      <w:r w:rsidR="001C45D5" w:rsidRPr="00711FD2">
        <w:rPr>
          <w:i/>
          <w:iCs/>
        </w:rPr>
        <w:t>p</w:t>
      </w:r>
      <w:r w:rsidR="001C45D5">
        <w:t xml:space="preserve"> &gt; .05). </w:t>
      </w:r>
      <w:r w:rsidR="00CC6E7D">
        <w:t xml:space="preserve">Additionally, there was an effect of </w:t>
      </w:r>
      <w:r w:rsidR="000E4ABB">
        <w:t>TCU attendance</w:t>
      </w:r>
      <w:r w:rsidR="00CC6E7D">
        <w:t xml:space="preserve"> on rankings</w:t>
      </w:r>
      <w:r w:rsidR="000E4ABB">
        <w:t xml:space="preserve"> (</w:t>
      </w:r>
      <w:r w:rsidR="000E4ABB">
        <w:rPr>
          <w:rFonts w:cstheme="majorHAnsi"/>
        </w:rPr>
        <w:t>χ</w:t>
      </w:r>
      <w:r w:rsidR="000E4ABB" w:rsidRPr="00580F91">
        <w:rPr>
          <w:vertAlign w:val="superscript"/>
        </w:rPr>
        <w:t>2</w:t>
      </w:r>
      <w:r w:rsidR="000E4ABB">
        <w:t>(6) = 17.27</w:t>
      </w:r>
      <w:r w:rsidR="000E4ABB" w:rsidRPr="00C43726">
        <w:t xml:space="preserve">, </w:t>
      </w:r>
      <w:r w:rsidR="000E4ABB" w:rsidRPr="00C43726">
        <w:rPr>
          <w:i/>
          <w:iCs/>
        </w:rPr>
        <w:t>p</w:t>
      </w:r>
      <w:r w:rsidR="000E4ABB" w:rsidRPr="00C43726">
        <w:t xml:space="preserve"> = .</w:t>
      </w:r>
      <w:r w:rsidR="000E4ABB">
        <w:t>008</w:t>
      </w:r>
      <w:r w:rsidR="000E4ABB" w:rsidRPr="00C43726">
        <w:t>, phi = .</w:t>
      </w:r>
      <w:r w:rsidR="000E4ABB">
        <w:t>22</w:t>
      </w:r>
      <w:r w:rsidR="000E4ABB" w:rsidRPr="00C43726">
        <w:t xml:space="preserve">, </w:t>
      </w:r>
      <w:r w:rsidR="000E4ABB" w:rsidRPr="00C43726">
        <w:rPr>
          <w:i/>
          <w:iCs/>
        </w:rPr>
        <w:t xml:space="preserve">d </w:t>
      </w:r>
      <w:r w:rsidR="000E4ABB" w:rsidRPr="00C43726">
        <w:t>= .</w:t>
      </w:r>
      <w:r w:rsidR="000E4ABB">
        <w:t>45)</w:t>
      </w:r>
      <w:r w:rsidR="00CC6E7D">
        <w:t>, such that</w:t>
      </w:r>
      <w:r w:rsidR="000E4ABB">
        <w:t xml:space="preserve"> </w:t>
      </w:r>
      <w:r w:rsidR="00F0248D">
        <w:t xml:space="preserve">participants </w:t>
      </w:r>
      <w:r w:rsidR="001C45D5">
        <w:t>currently enrolled in a</w:t>
      </w:r>
      <w:r w:rsidR="00CC6E7D">
        <w:t xml:space="preserve"> TCU</w:t>
      </w:r>
      <w:r w:rsidR="001C45D5">
        <w:t xml:space="preserve"> ranked BDI first more frequently than participants who never enrolled in a TCU or were enrolled in the past</w:t>
      </w:r>
      <w:r w:rsidR="001C45D5" w:rsidRPr="001C45D5">
        <w:rPr>
          <w:i/>
          <w:iCs/>
        </w:rPr>
        <w:t xml:space="preserve"> </w:t>
      </w:r>
      <w:r w:rsidR="001C45D5">
        <w:t>(</w:t>
      </w:r>
      <w:r w:rsidR="00CC6E7D" w:rsidRPr="005D1B07">
        <w:rPr>
          <w:i/>
          <w:iCs/>
        </w:rPr>
        <w:t>p</w:t>
      </w:r>
      <w:r w:rsidR="00CC6E7D">
        <w:t xml:space="preserve"> &lt; .05</w:t>
      </w:r>
      <w:r w:rsidR="00F0248D">
        <w:t xml:space="preserve">). </w:t>
      </w:r>
      <w:r w:rsidR="00580F91">
        <w:t xml:space="preserve">There were no gender or sexual identity differences in </w:t>
      </w:r>
      <w:r>
        <w:t>which intervention was ranked first most frequently</w:t>
      </w:r>
      <w:r w:rsidR="000E4ABB">
        <w:t xml:space="preserve"> (</w:t>
      </w:r>
      <w:r w:rsidR="000E4ABB" w:rsidRPr="005D1B07">
        <w:rPr>
          <w:i/>
          <w:iCs/>
        </w:rPr>
        <w:t>p</w:t>
      </w:r>
      <w:r w:rsidR="000E4ABB">
        <w:t xml:space="preserve"> &gt; .05)</w:t>
      </w:r>
      <w:r>
        <w:t xml:space="preserve">. </w:t>
      </w:r>
    </w:p>
    <w:p w14:paraId="7BCA11C3" w14:textId="38274BF7" w:rsidR="00807127" w:rsidRDefault="00546366" w:rsidP="00E347EB">
      <w:pPr>
        <w:ind w:firstLine="0"/>
        <w:rPr>
          <w:i/>
          <w:iCs/>
        </w:rPr>
      </w:pPr>
      <w:r w:rsidRPr="000A0E89">
        <w:rPr>
          <w:b/>
          <w:bCs/>
          <w:i/>
          <w:iCs/>
        </w:rPr>
        <w:t>Willingness</w:t>
      </w:r>
    </w:p>
    <w:p w14:paraId="34612E1F" w14:textId="482722B8" w:rsidR="00030354" w:rsidRPr="00F263DC" w:rsidRDefault="00124D03" w:rsidP="00F263DC">
      <w:r>
        <w:lastRenderedPageBreak/>
        <w:t>SAARR</w:t>
      </w:r>
      <w:r w:rsidR="00A55B96">
        <w:t xml:space="preserve"> was also the intervention participants were most willing to try and the intervention the least number of participants were not willing to try</w:t>
      </w:r>
      <w:r w:rsidR="0031328E">
        <w:t xml:space="preserve"> (</w:t>
      </w:r>
      <w:r w:rsidR="00A55B96">
        <w:t>Table 1</w:t>
      </w:r>
      <w:r w:rsidR="0031328E">
        <w:t>)</w:t>
      </w:r>
      <w:r w:rsidR="00A55B96">
        <w:t xml:space="preserve">. </w:t>
      </w:r>
      <w:r w:rsidR="00D52697">
        <w:t>M</w:t>
      </w:r>
      <w:r w:rsidR="00803FCD">
        <w:t>en</w:t>
      </w:r>
      <w:r w:rsidR="00D52697">
        <w:t xml:space="preserve"> were</w:t>
      </w:r>
      <w:r w:rsidR="00803FCD">
        <w:t xml:space="preserve"> less willing to try FTS then women or Two-Spirit individuals,</w:t>
      </w:r>
      <w:r w:rsidR="00A55B96">
        <w:t xml:space="preserve"> </w:t>
      </w:r>
      <w:r w:rsidR="00803FCD">
        <w:t>(</w:t>
      </w:r>
      <w:r w:rsidR="00803FCD">
        <w:rPr>
          <w:rFonts w:cstheme="majorHAnsi"/>
        </w:rPr>
        <w:t>χ</w:t>
      </w:r>
      <w:r w:rsidR="00803FCD" w:rsidRPr="00580F91">
        <w:rPr>
          <w:vertAlign w:val="superscript"/>
        </w:rPr>
        <w:t>2</w:t>
      </w:r>
      <w:r w:rsidR="00803FCD">
        <w:t>(</w:t>
      </w:r>
      <w:r w:rsidR="0044445D">
        <w:t>2</w:t>
      </w:r>
      <w:r w:rsidR="00803FCD">
        <w:t xml:space="preserve">) = </w:t>
      </w:r>
      <w:r w:rsidR="006328E8" w:rsidRPr="00C43726">
        <w:t xml:space="preserve">11.70, </w:t>
      </w:r>
      <w:r w:rsidR="006328E8" w:rsidRPr="00C43726">
        <w:rPr>
          <w:i/>
          <w:iCs/>
        </w:rPr>
        <w:t>p</w:t>
      </w:r>
      <w:r w:rsidR="006328E8" w:rsidRPr="00C43726">
        <w:t xml:space="preserve"> = .003, phi = .17, </w:t>
      </w:r>
      <w:r w:rsidR="006328E8" w:rsidRPr="00C43726">
        <w:rPr>
          <w:i/>
          <w:iCs/>
        </w:rPr>
        <w:t>d</w:t>
      </w:r>
      <w:r w:rsidR="006328E8" w:rsidRPr="00C43726">
        <w:t xml:space="preserve"> = .35</w:t>
      </w:r>
      <w:r w:rsidR="00803FCD">
        <w:t xml:space="preserve">. Specifically, </w:t>
      </w:r>
      <w:r w:rsidR="0044445D">
        <w:t>61.2</w:t>
      </w:r>
      <w:r w:rsidR="00803FCD">
        <w:t xml:space="preserve">% of women and </w:t>
      </w:r>
      <w:r w:rsidR="0044445D">
        <w:t xml:space="preserve">58.3% of </w:t>
      </w:r>
      <w:r w:rsidR="00803FCD">
        <w:t xml:space="preserve">Two-Spirit individuals were willing to try FTS compared to </w:t>
      </w:r>
      <w:r w:rsidR="0044445D">
        <w:t>39.2</w:t>
      </w:r>
      <w:r w:rsidR="00803FCD">
        <w:t xml:space="preserve">% of men. </w:t>
      </w:r>
      <w:r w:rsidR="00AC3652">
        <w:t xml:space="preserve">There were also differences based on victimization history. </w:t>
      </w:r>
      <w:r w:rsidR="0044445D">
        <w:t xml:space="preserve">Those with victimization histories were more </w:t>
      </w:r>
      <w:r w:rsidR="005851CA">
        <w:t>willing</w:t>
      </w:r>
      <w:r w:rsidR="0044445D">
        <w:t xml:space="preserve"> to try SAARR than those without, 68.5 vs. 55.8%, </w:t>
      </w:r>
      <w:r w:rsidR="0044445D">
        <w:rPr>
          <w:rFonts w:cstheme="majorHAnsi"/>
        </w:rPr>
        <w:t>χ</w:t>
      </w:r>
      <w:r w:rsidR="0044445D" w:rsidRPr="00580F91">
        <w:rPr>
          <w:vertAlign w:val="superscript"/>
        </w:rPr>
        <w:t>2</w:t>
      </w:r>
      <w:r w:rsidR="0044445D">
        <w:t xml:space="preserve">(1) = </w:t>
      </w:r>
      <w:r w:rsidR="0051404A" w:rsidRPr="0051404A">
        <w:t xml:space="preserve">4.46, </w:t>
      </w:r>
      <w:r w:rsidR="0051404A" w:rsidRPr="0051404A">
        <w:rPr>
          <w:i/>
          <w:iCs/>
        </w:rPr>
        <w:t>p</w:t>
      </w:r>
      <w:r w:rsidR="0051404A" w:rsidRPr="0051404A">
        <w:t xml:space="preserve"> =.035, phi = .11, </w:t>
      </w:r>
      <w:r w:rsidR="0051404A" w:rsidRPr="0051404A">
        <w:rPr>
          <w:i/>
          <w:iCs/>
        </w:rPr>
        <w:t>d</w:t>
      </w:r>
      <w:r w:rsidR="0051404A" w:rsidRPr="0051404A">
        <w:t xml:space="preserve"> = .21</w:t>
      </w:r>
      <w:r w:rsidR="0044445D">
        <w:t xml:space="preserve">. </w:t>
      </w:r>
      <w:r w:rsidR="003C78FA">
        <w:t xml:space="preserve">Those without victimization histories were more willing to try BITB and FTS than those with victimization histories, (79.2 vs. 50.3%, </w:t>
      </w:r>
      <w:r w:rsidR="003C78FA">
        <w:rPr>
          <w:rFonts w:cstheme="majorHAnsi"/>
        </w:rPr>
        <w:t>χ</w:t>
      </w:r>
      <w:r w:rsidR="003C78FA" w:rsidRPr="00580F91">
        <w:rPr>
          <w:vertAlign w:val="superscript"/>
        </w:rPr>
        <w:t>2</w:t>
      </w:r>
      <w:r w:rsidR="003C78FA">
        <w:t xml:space="preserve">(1) = </w:t>
      </w:r>
      <w:r w:rsidR="003C78FA" w:rsidRPr="006328E8">
        <w:t xml:space="preserve">21.09, </w:t>
      </w:r>
      <w:r w:rsidR="003C78FA" w:rsidRPr="006328E8">
        <w:rPr>
          <w:i/>
          <w:iCs/>
        </w:rPr>
        <w:t>p</w:t>
      </w:r>
      <w:r w:rsidR="003C78FA" w:rsidRPr="006328E8">
        <w:t xml:space="preserve"> &lt; .001, phi = -.23, </w:t>
      </w:r>
      <w:r w:rsidR="003C78FA" w:rsidRPr="006328E8">
        <w:rPr>
          <w:i/>
          <w:iCs/>
        </w:rPr>
        <w:t xml:space="preserve">d </w:t>
      </w:r>
      <w:r w:rsidR="003C78FA" w:rsidRPr="006328E8">
        <w:rPr>
          <w:vertAlign w:val="subscript"/>
        </w:rPr>
        <w:t xml:space="preserve">= </w:t>
      </w:r>
      <w:r w:rsidR="003C78FA" w:rsidRPr="006328E8">
        <w:t>.47</w:t>
      </w:r>
      <w:r w:rsidR="003C78FA">
        <w:t xml:space="preserve">) and (80.5 vs. 50.9%, </w:t>
      </w:r>
      <w:r w:rsidR="003C78FA">
        <w:rPr>
          <w:rFonts w:cstheme="majorHAnsi"/>
        </w:rPr>
        <w:t>χ</w:t>
      </w:r>
      <w:r w:rsidR="003C78FA" w:rsidRPr="00580F91">
        <w:rPr>
          <w:vertAlign w:val="superscript"/>
        </w:rPr>
        <w:t>2</w:t>
      </w:r>
      <w:r w:rsidR="003C78FA">
        <w:t xml:space="preserve">(1) = </w:t>
      </w:r>
      <w:r w:rsidR="003C78FA" w:rsidRPr="0051404A">
        <w:t xml:space="preserve">22.18, </w:t>
      </w:r>
      <w:r w:rsidR="003C78FA" w:rsidRPr="0051404A">
        <w:rPr>
          <w:i/>
          <w:iCs/>
        </w:rPr>
        <w:t>p</w:t>
      </w:r>
      <w:r w:rsidR="003C78FA" w:rsidRPr="0051404A">
        <w:t xml:space="preserve"> &lt;.001, phi = -.24, </w:t>
      </w:r>
      <w:r w:rsidR="003C78FA" w:rsidRPr="0051404A">
        <w:rPr>
          <w:i/>
          <w:iCs/>
        </w:rPr>
        <w:t>d</w:t>
      </w:r>
      <w:r w:rsidR="003C78FA" w:rsidRPr="0051404A">
        <w:t xml:space="preserve"> = .48</w:t>
      </w:r>
      <w:r w:rsidR="003C78FA">
        <w:t xml:space="preserve">), respectively. </w:t>
      </w:r>
      <w:r w:rsidR="0001797B">
        <w:t xml:space="preserve">Additionally, </w:t>
      </w:r>
      <w:r w:rsidR="008D3478">
        <w:t xml:space="preserve">participants who only attended PWIs were more willing </w:t>
      </w:r>
      <w:r w:rsidR="0058161C">
        <w:t>to try BITB</w:t>
      </w:r>
      <w:r w:rsidR="0001797B">
        <w:t xml:space="preserve"> (</w:t>
      </w:r>
      <w:r w:rsidR="0001797B">
        <w:rPr>
          <w:rFonts w:cstheme="majorHAnsi"/>
        </w:rPr>
        <w:t>χ</w:t>
      </w:r>
      <w:r w:rsidR="0001797B" w:rsidRPr="00580F91">
        <w:rPr>
          <w:vertAlign w:val="superscript"/>
        </w:rPr>
        <w:t>2</w:t>
      </w:r>
      <w:r w:rsidR="0001797B">
        <w:t>(2) = 15.90</w:t>
      </w:r>
      <w:r w:rsidR="0001797B" w:rsidRPr="00C43726">
        <w:t xml:space="preserve">, </w:t>
      </w:r>
      <w:r w:rsidR="0001797B" w:rsidRPr="00C43726">
        <w:rPr>
          <w:i/>
          <w:iCs/>
        </w:rPr>
        <w:t>p</w:t>
      </w:r>
      <w:r w:rsidR="0001797B" w:rsidRPr="00C43726">
        <w:t xml:space="preserve"> </w:t>
      </w:r>
      <w:r w:rsidR="0001797B">
        <w:t>&lt;</w:t>
      </w:r>
      <w:r w:rsidR="0001797B" w:rsidRPr="00C43726">
        <w:t xml:space="preserve"> .</w:t>
      </w:r>
      <w:r w:rsidR="0001797B">
        <w:t>001</w:t>
      </w:r>
      <w:r w:rsidR="0001797B" w:rsidRPr="00C43726">
        <w:t>, phi = .</w:t>
      </w:r>
      <w:r w:rsidR="0001797B">
        <w:t>21</w:t>
      </w:r>
      <w:r w:rsidR="0001797B" w:rsidRPr="00C43726">
        <w:t xml:space="preserve">, </w:t>
      </w:r>
      <w:r w:rsidR="0001797B" w:rsidRPr="00C43726">
        <w:rPr>
          <w:i/>
          <w:iCs/>
        </w:rPr>
        <w:t xml:space="preserve">d </w:t>
      </w:r>
      <w:r w:rsidR="0001797B" w:rsidRPr="00C43726">
        <w:t>= .</w:t>
      </w:r>
      <w:r w:rsidR="0001797B">
        <w:t>43)</w:t>
      </w:r>
      <w:r w:rsidR="00395946">
        <w:t xml:space="preserve">, </w:t>
      </w:r>
      <w:r w:rsidR="0058161C">
        <w:t>FTS</w:t>
      </w:r>
      <w:r w:rsidR="0001797B">
        <w:t xml:space="preserve"> (</w:t>
      </w:r>
      <w:r w:rsidR="0001797B">
        <w:rPr>
          <w:rFonts w:cstheme="majorHAnsi"/>
        </w:rPr>
        <w:t>χ</w:t>
      </w:r>
      <w:r w:rsidR="0001797B" w:rsidRPr="00580F91">
        <w:rPr>
          <w:vertAlign w:val="superscript"/>
        </w:rPr>
        <w:t>2</w:t>
      </w:r>
      <w:r w:rsidR="0001797B">
        <w:t>(2) = 21.58</w:t>
      </w:r>
      <w:r w:rsidR="0001797B" w:rsidRPr="00C43726">
        <w:t xml:space="preserve">, </w:t>
      </w:r>
      <w:r w:rsidR="0001797B" w:rsidRPr="00C43726">
        <w:rPr>
          <w:i/>
          <w:iCs/>
        </w:rPr>
        <w:t>p</w:t>
      </w:r>
      <w:r w:rsidR="0001797B" w:rsidRPr="00C43726">
        <w:t xml:space="preserve"> </w:t>
      </w:r>
      <w:r w:rsidR="0001797B">
        <w:t>&lt; .001</w:t>
      </w:r>
      <w:r w:rsidR="0001797B" w:rsidRPr="00C43726">
        <w:t>, phi = .</w:t>
      </w:r>
      <w:r w:rsidR="0001797B">
        <w:t>24</w:t>
      </w:r>
      <w:r w:rsidR="0001797B" w:rsidRPr="00C43726">
        <w:t xml:space="preserve"> </w:t>
      </w:r>
      <w:r w:rsidR="0001797B" w:rsidRPr="00C43726">
        <w:rPr>
          <w:i/>
          <w:iCs/>
        </w:rPr>
        <w:t xml:space="preserve">d </w:t>
      </w:r>
      <w:r w:rsidR="0001797B" w:rsidRPr="00C43726">
        <w:t>= .</w:t>
      </w:r>
      <w:r w:rsidR="0001797B">
        <w:t>50)</w:t>
      </w:r>
      <w:r w:rsidR="00395946">
        <w:t>, and SAARR (</w:t>
      </w:r>
      <w:r w:rsidR="00395946">
        <w:rPr>
          <w:rFonts w:cstheme="majorHAnsi"/>
        </w:rPr>
        <w:t>χ</w:t>
      </w:r>
      <w:r w:rsidR="00395946" w:rsidRPr="00580F91">
        <w:rPr>
          <w:vertAlign w:val="superscript"/>
        </w:rPr>
        <w:t>2</w:t>
      </w:r>
      <w:r w:rsidR="00395946">
        <w:t>(2) = 12.23</w:t>
      </w:r>
      <w:r w:rsidR="00395946" w:rsidRPr="00C43726">
        <w:t xml:space="preserve">, </w:t>
      </w:r>
      <w:r w:rsidR="00395946" w:rsidRPr="00C43726">
        <w:rPr>
          <w:i/>
          <w:iCs/>
        </w:rPr>
        <w:t>p</w:t>
      </w:r>
      <w:r w:rsidR="00395946" w:rsidRPr="00C43726">
        <w:t xml:space="preserve"> = .</w:t>
      </w:r>
      <w:r w:rsidR="00395946">
        <w:t>002</w:t>
      </w:r>
      <w:r w:rsidR="00395946" w:rsidRPr="00C43726">
        <w:t>, phi = .</w:t>
      </w:r>
      <w:r w:rsidR="00395946">
        <w:t>18</w:t>
      </w:r>
      <w:r w:rsidR="00395946" w:rsidRPr="00C43726">
        <w:t xml:space="preserve">, </w:t>
      </w:r>
      <w:r w:rsidR="00395946" w:rsidRPr="00C43726">
        <w:rPr>
          <w:i/>
          <w:iCs/>
        </w:rPr>
        <w:t xml:space="preserve">d </w:t>
      </w:r>
      <w:r w:rsidR="00395946" w:rsidRPr="00C43726">
        <w:t>= .</w:t>
      </w:r>
      <w:r w:rsidR="00395946">
        <w:t>37)</w:t>
      </w:r>
      <w:r w:rsidR="008D3478">
        <w:t xml:space="preserve">, </w:t>
      </w:r>
      <w:r w:rsidR="0056138D" w:rsidRPr="00711FD2">
        <w:rPr>
          <w:i/>
          <w:iCs/>
        </w:rPr>
        <w:t>p</w:t>
      </w:r>
      <w:r w:rsidR="0056138D">
        <w:t xml:space="preserve"> &gt; .05. </w:t>
      </w:r>
      <w:r w:rsidR="0001797B">
        <w:t xml:space="preserve">TCU attendance was not </w:t>
      </w:r>
      <w:r w:rsidR="00395946">
        <w:t xml:space="preserve">significantly associated with willingness to try </w:t>
      </w:r>
      <w:r w:rsidR="00F263DC">
        <w:t>BDI</w:t>
      </w:r>
      <w:r w:rsidR="0058161C">
        <w:t xml:space="preserve"> </w:t>
      </w:r>
      <w:r w:rsidR="000E4ABB">
        <w:t>(</w:t>
      </w:r>
      <w:r w:rsidR="000E4ABB" w:rsidRPr="00686035">
        <w:rPr>
          <w:i/>
          <w:iCs/>
        </w:rPr>
        <w:t>p</w:t>
      </w:r>
      <w:r w:rsidR="000E4ABB">
        <w:t xml:space="preserve"> &gt; .05).</w:t>
      </w:r>
    </w:p>
    <w:p w14:paraId="1CF499E2" w14:textId="6CEF9A28" w:rsidR="00546366" w:rsidRPr="008D3478" w:rsidRDefault="004D36BC" w:rsidP="00030354">
      <w:r w:rsidRPr="00C1775A">
        <w:t xml:space="preserve">Findings regarding </w:t>
      </w:r>
      <w:r w:rsidR="00D52697" w:rsidRPr="005D1B07">
        <w:rPr>
          <w:i/>
        </w:rPr>
        <w:t>un</w:t>
      </w:r>
      <w:r w:rsidRPr="005D1B07">
        <w:rPr>
          <w:i/>
        </w:rPr>
        <w:t xml:space="preserve">willingness </w:t>
      </w:r>
      <w:r w:rsidRPr="005D1B07">
        <w:t>mirrored these willingness findings</w:t>
      </w:r>
      <w:r w:rsidRPr="005D1B07">
        <w:rPr>
          <w:i/>
        </w:rPr>
        <w:t>.</w:t>
      </w:r>
      <w:r w:rsidRPr="005D1B07">
        <w:t xml:space="preserve"> For example, more individuals with victimization histories reported being unwilling to try BITB, 43.8% vs. 19.5%,</w:t>
      </w:r>
      <w:r w:rsidR="005851CA" w:rsidRPr="005D1B07">
        <w:t xml:space="preserve"> χ</w:t>
      </w:r>
      <w:r w:rsidR="005851CA" w:rsidRPr="005D1B07">
        <w:rPr>
          <w:vertAlign w:val="superscript"/>
        </w:rPr>
        <w:t>2</w:t>
      </w:r>
      <w:r w:rsidR="005851CA" w:rsidRPr="005D1B07">
        <w:t xml:space="preserve">(1) = </w:t>
      </w:r>
      <w:r w:rsidR="0051404A" w:rsidRPr="005D1B07">
        <w:t xml:space="preserve">15.48, </w:t>
      </w:r>
      <w:r w:rsidR="0051404A" w:rsidRPr="005D1B07">
        <w:rPr>
          <w:i/>
        </w:rPr>
        <w:t>p</w:t>
      </w:r>
      <w:r w:rsidR="0051404A" w:rsidRPr="005D1B07">
        <w:t xml:space="preserve"> &lt; .001, phi = .20, </w:t>
      </w:r>
      <w:r w:rsidR="0051404A" w:rsidRPr="005D1B07">
        <w:rPr>
          <w:i/>
        </w:rPr>
        <w:t>d</w:t>
      </w:r>
      <w:r w:rsidR="0051404A" w:rsidRPr="005D1B07">
        <w:t xml:space="preserve"> = .40</w:t>
      </w:r>
      <w:r w:rsidRPr="005D1B07">
        <w:t>; or FTS, 42.0% vs, 14.3%,</w:t>
      </w:r>
      <w:r w:rsidR="005851CA" w:rsidRPr="005D1B07">
        <w:t xml:space="preserve"> χ</w:t>
      </w:r>
      <w:r w:rsidR="005851CA" w:rsidRPr="005D1B07">
        <w:rPr>
          <w:vertAlign w:val="superscript"/>
        </w:rPr>
        <w:t>2</w:t>
      </w:r>
      <w:r w:rsidR="005851CA" w:rsidRPr="005D1B07">
        <w:t>(1) = 2</w:t>
      </w:r>
      <w:r w:rsidR="0051404A" w:rsidRPr="005D1B07">
        <w:t xml:space="preserve">20.54, </w:t>
      </w:r>
      <w:r w:rsidR="0051404A" w:rsidRPr="005D1B07">
        <w:rPr>
          <w:i/>
        </w:rPr>
        <w:t>p</w:t>
      </w:r>
      <w:r w:rsidR="0051404A" w:rsidRPr="005D1B07">
        <w:t xml:space="preserve"> </w:t>
      </w:r>
      <w:r w:rsidR="0051404A" w:rsidRPr="005D1B07">
        <w:rPr>
          <w:i/>
        </w:rPr>
        <w:t>&lt;</w:t>
      </w:r>
      <w:r w:rsidR="0051404A" w:rsidRPr="005D1B07">
        <w:t xml:space="preserve"> .001, phi = .23, </w:t>
      </w:r>
      <w:r w:rsidR="0051404A" w:rsidRPr="005D1B07">
        <w:rPr>
          <w:i/>
        </w:rPr>
        <w:t>d</w:t>
      </w:r>
      <w:r w:rsidR="0051404A" w:rsidRPr="005D1B07">
        <w:t xml:space="preserve"> = .47</w:t>
      </w:r>
      <w:bookmarkStart w:id="6" w:name="_Hlk160199102"/>
      <w:r w:rsidR="005851CA" w:rsidRPr="005D1B07">
        <w:t xml:space="preserve">. </w:t>
      </w:r>
      <w:r w:rsidR="003C78FA">
        <w:t xml:space="preserve">For </w:t>
      </w:r>
      <w:r w:rsidRPr="005D1B07">
        <w:t>SAARR, more individuals with</w:t>
      </w:r>
      <w:r w:rsidR="0051404A" w:rsidRPr="005D1B07">
        <w:t>out</w:t>
      </w:r>
      <w:r w:rsidRPr="005D1B07">
        <w:t xml:space="preserve"> victimization histories </w:t>
      </w:r>
      <w:r w:rsidR="008C5863" w:rsidRPr="005D1B07">
        <w:t>report</w:t>
      </w:r>
      <w:r w:rsidR="003C78FA">
        <w:t>ed</w:t>
      </w:r>
      <w:r w:rsidRPr="005D1B07">
        <w:t xml:space="preserve"> being unwilling to try SAARR</w:t>
      </w:r>
      <w:r w:rsidR="0051404A" w:rsidRPr="005D1B07">
        <w:t xml:space="preserve"> than those with victimization histories</w:t>
      </w:r>
      <w:r w:rsidRPr="005D1B07">
        <w:t xml:space="preserve">, </w:t>
      </w:r>
      <w:r w:rsidR="005851CA" w:rsidRPr="005D1B07">
        <w:t>39</w:t>
      </w:r>
      <w:r w:rsidR="005851CA">
        <w:t xml:space="preserve">.0% </w:t>
      </w:r>
      <w:r>
        <w:t>vs 25.6%</w:t>
      </w:r>
      <w:r w:rsidR="005851CA">
        <w:t xml:space="preserve">, </w:t>
      </w:r>
      <w:r w:rsidR="005851CA">
        <w:rPr>
          <w:rFonts w:cstheme="majorHAnsi"/>
        </w:rPr>
        <w:t>χ</w:t>
      </w:r>
      <w:r w:rsidR="005851CA" w:rsidRPr="00580F91">
        <w:rPr>
          <w:vertAlign w:val="superscript"/>
        </w:rPr>
        <w:t>2</w:t>
      </w:r>
      <w:r w:rsidR="005851CA">
        <w:t xml:space="preserve">(1) = </w:t>
      </w:r>
      <w:r w:rsidR="0051404A" w:rsidRPr="0051404A">
        <w:t xml:space="preserve">5.47, </w:t>
      </w:r>
      <w:r w:rsidR="0051404A" w:rsidRPr="0051404A">
        <w:rPr>
          <w:i/>
          <w:iCs/>
        </w:rPr>
        <w:t>p</w:t>
      </w:r>
      <w:r w:rsidR="0051404A" w:rsidRPr="0051404A">
        <w:t xml:space="preserve"> = .019, phi = -.12, </w:t>
      </w:r>
      <w:r w:rsidR="0051404A" w:rsidRPr="0051404A">
        <w:rPr>
          <w:i/>
          <w:iCs/>
        </w:rPr>
        <w:t>d</w:t>
      </w:r>
      <w:r w:rsidR="0051404A" w:rsidRPr="0051404A">
        <w:t xml:space="preserve"> = .24</w:t>
      </w:r>
      <w:r w:rsidR="00CB6BEB">
        <w:t>. This is the logical inverse of the above finding that those with victimization histories are more willing to try SAARR, especially in the context that so few participants had no victimization history</w:t>
      </w:r>
      <w:r w:rsidR="005851CA">
        <w:t xml:space="preserve">. </w:t>
      </w:r>
      <w:bookmarkEnd w:id="6"/>
      <w:r w:rsidR="00D11698">
        <w:t xml:space="preserve">Additionally, </w:t>
      </w:r>
      <w:r w:rsidR="008D3478">
        <w:t>those who attended a TCU were more often unwilling</w:t>
      </w:r>
      <w:r w:rsidR="00D11698">
        <w:t xml:space="preserve"> to try BITB (</w:t>
      </w:r>
      <w:r w:rsidR="00D11698">
        <w:rPr>
          <w:rFonts w:cstheme="majorHAnsi"/>
        </w:rPr>
        <w:t>χ</w:t>
      </w:r>
      <w:r w:rsidR="00D11698" w:rsidRPr="00580F91">
        <w:rPr>
          <w:vertAlign w:val="superscript"/>
        </w:rPr>
        <w:t>2</w:t>
      </w:r>
      <w:r w:rsidR="00D11698">
        <w:t xml:space="preserve">(2) = </w:t>
      </w:r>
      <w:r w:rsidR="004A0CB3">
        <w:t>18</w:t>
      </w:r>
      <w:r w:rsidR="00D11698">
        <w:t>.</w:t>
      </w:r>
      <w:r w:rsidR="004A0CB3">
        <w:t>74</w:t>
      </w:r>
      <w:r w:rsidR="00D11698" w:rsidRPr="00C43726">
        <w:t xml:space="preserve">, </w:t>
      </w:r>
      <w:r w:rsidR="00D11698" w:rsidRPr="00C43726">
        <w:rPr>
          <w:i/>
          <w:iCs/>
        </w:rPr>
        <w:t>p</w:t>
      </w:r>
      <w:r w:rsidR="00D11698" w:rsidRPr="00C43726">
        <w:t xml:space="preserve"> </w:t>
      </w:r>
      <w:r w:rsidR="00D11698">
        <w:t>&lt;</w:t>
      </w:r>
      <w:r w:rsidR="00D11698" w:rsidRPr="00C43726">
        <w:t xml:space="preserve"> .</w:t>
      </w:r>
      <w:r w:rsidR="00D11698">
        <w:t>001</w:t>
      </w:r>
      <w:r w:rsidR="00D11698" w:rsidRPr="00C43726">
        <w:t>, phi = .</w:t>
      </w:r>
      <w:r w:rsidR="004A0CB3">
        <w:t>23</w:t>
      </w:r>
      <w:r w:rsidR="00D11698" w:rsidRPr="00C43726">
        <w:t xml:space="preserve">, </w:t>
      </w:r>
      <w:r w:rsidR="00D11698" w:rsidRPr="00C43726">
        <w:rPr>
          <w:i/>
          <w:iCs/>
        </w:rPr>
        <w:t xml:space="preserve">d </w:t>
      </w:r>
      <w:r w:rsidR="00D11698" w:rsidRPr="00C43726">
        <w:t>= .</w:t>
      </w:r>
      <w:r w:rsidR="004A0CB3">
        <w:t>47</w:t>
      </w:r>
      <w:r w:rsidR="00D11698">
        <w:t>), FTS (</w:t>
      </w:r>
      <w:r w:rsidR="00D11698">
        <w:rPr>
          <w:rFonts w:cstheme="majorHAnsi"/>
        </w:rPr>
        <w:t>χ</w:t>
      </w:r>
      <w:r w:rsidR="00D11698" w:rsidRPr="00580F91">
        <w:rPr>
          <w:vertAlign w:val="superscript"/>
        </w:rPr>
        <w:t>2</w:t>
      </w:r>
      <w:r w:rsidR="00D11698">
        <w:t xml:space="preserve">(2) = </w:t>
      </w:r>
      <w:r w:rsidR="004A0CB3">
        <w:t>20</w:t>
      </w:r>
      <w:r w:rsidR="00D11698">
        <w:t>.</w:t>
      </w:r>
      <w:r w:rsidR="004A0CB3">
        <w:t>28</w:t>
      </w:r>
      <w:r w:rsidR="00D11698" w:rsidRPr="00C43726">
        <w:t xml:space="preserve">, </w:t>
      </w:r>
      <w:r w:rsidR="00D11698" w:rsidRPr="00C43726">
        <w:rPr>
          <w:i/>
          <w:iCs/>
        </w:rPr>
        <w:t>p</w:t>
      </w:r>
      <w:r w:rsidR="00D11698" w:rsidRPr="00C43726">
        <w:t xml:space="preserve"> </w:t>
      </w:r>
      <w:r w:rsidR="00D11698">
        <w:lastRenderedPageBreak/>
        <w:t>&lt; .001</w:t>
      </w:r>
      <w:r w:rsidR="00D11698" w:rsidRPr="00C43726">
        <w:t>, phi = .</w:t>
      </w:r>
      <w:r w:rsidR="004A0CB3">
        <w:t>24</w:t>
      </w:r>
      <w:r w:rsidR="00D11698" w:rsidRPr="00C43726">
        <w:t xml:space="preserve"> </w:t>
      </w:r>
      <w:r w:rsidR="00D11698" w:rsidRPr="00C43726">
        <w:rPr>
          <w:i/>
          <w:iCs/>
        </w:rPr>
        <w:t xml:space="preserve">d </w:t>
      </w:r>
      <w:r w:rsidR="00D11698" w:rsidRPr="00C43726">
        <w:t>= .</w:t>
      </w:r>
      <w:r w:rsidR="004A0CB3">
        <w:t>49</w:t>
      </w:r>
      <w:r w:rsidR="00D11698">
        <w:t>), and SAARR (</w:t>
      </w:r>
      <w:r w:rsidR="00D11698">
        <w:rPr>
          <w:rFonts w:cstheme="majorHAnsi"/>
        </w:rPr>
        <w:t>χ</w:t>
      </w:r>
      <w:r w:rsidR="00D11698" w:rsidRPr="00580F91">
        <w:rPr>
          <w:vertAlign w:val="superscript"/>
        </w:rPr>
        <w:t>2</w:t>
      </w:r>
      <w:r w:rsidR="00D11698">
        <w:t xml:space="preserve">(2) = </w:t>
      </w:r>
      <w:r w:rsidR="004A0CB3">
        <w:t>9.11</w:t>
      </w:r>
      <w:r w:rsidR="00D11698" w:rsidRPr="00C43726">
        <w:t xml:space="preserve">, </w:t>
      </w:r>
      <w:r w:rsidR="00D11698" w:rsidRPr="00C43726">
        <w:rPr>
          <w:i/>
          <w:iCs/>
        </w:rPr>
        <w:t>p</w:t>
      </w:r>
      <w:r w:rsidR="00D11698" w:rsidRPr="00C43726">
        <w:t xml:space="preserve"> = .</w:t>
      </w:r>
      <w:r w:rsidR="004A0CB3">
        <w:t>011</w:t>
      </w:r>
      <w:r w:rsidR="00D11698" w:rsidRPr="00C43726">
        <w:t>, phi = .</w:t>
      </w:r>
      <w:r w:rsidR="004A0CB3">
        <w:t>16</w:t>
      </w:r>
      <w:r w:rsidR="00D11698" w:rsidRPr="00C43726">
        <w:t xml:space="preserve">, </w:t>
      </w:r>
      <w:r w:rsidR="00D11698" w:rsidRPr="00C43726">
        <w:rPr>
          <w:i/>
          <w:iCs/>
        </w:rPr>
        <w:t xml:space="preserve">d </w:t>
      </w:r>
      <w:r w:rsidR="00D11698" w:rsidRPr="00C43726">
        <w:t>= .</w:t>
      </w:r>
      <w:r w:rsidR="004A0CB3">
        <w:t>32</w:t>
      </w:r>
      <w:r w:rsidR="00D11698">
        <w:t>)</w:t>
      </w:r>
      <w:r w:rsidR="008D3478">
        <w:t xml:space="preserve">, </w:t>
      </w:r>
      <w:r w:rsidR="0056138D" w:rsidRPr="00711FD2">
        <w:rPr>
          <w:i/>
          <w:iCs/>
        </w:rPr>
        <w:t>p</w:t>
      </w:r>
      <w:r w:rsidR="0056138D">
        <w:t xml:space="preserve"> &gt; .05. </w:t>
      </w:r>
      <w:r w:rsidR="00D11698">
        <w:t xml:space="preserve">TCU attendance was not significantly associated with </w:t>
      </w:r>
      <w:r w:rsidR="008D3478">
        <w:t>un</w:t>
      </w:r>
      <w:r w:rsidR="00D11698">
        <w:t xml:space="preserve">willingness to try </w:t>
      </w:r>
      <w:r w:rsidR="00F0248D">
        <w:t>BDI</w:t>
      </w:r>
      <w:r w:rsidR="00D11698">
        <w:t xml:space="preserve"> </w:t>
      </w:r>
      <w:r w:rsidR="000E4ABB">
        <w:t>(</w:t>
      </w:r>
      <w:r w:rsidR="000E4ABB" w:rsidRPr="00686035">
        <w:rPr>
          <w:i/>
          <w:iCs/>
        </w:rPr>
        <w:t>p</w:t>
      </w:r>
      <w:r w:rsidR="000E4ABB">
        <w:t xml:space="preserve"> &gt; .05).</w:t>
      </w:r>
    </w:p>
    <w:p w14:paraId="4D199B24" w14:textId="77777777" w:rsidR="00BD3FA3" w:rsidRPr="00BD3FA3" w:rsidRDefault="00197E45" w:rsidP="00CF76D8">
      <w:pPr>
        <w:ind w:firstLine="0"/>
        <w:rPr>
          <w:b/>
          <w:bCs/>
          <w:i/>
          <w:iCs/>
        </w:rPr>
      </w:pPr>
      <w:r w:rsidRPr="00BD3FA3">
        <w:rPr>
          <w:b/>
          <w:bCs/>
          <w:i/>
          <w:iCs/>
        </w:rPr>
        <w:t>Acceptability Scores</w:t>
      </w:r>
    </w:p>
    <w:p w14:paraId="3D077F89" w14:textId="79E4A9B9" w:rsidR="007C5BE0" w:rsidRDefault="00197E45" w:rsidP="0044445D">
      <w:r w:rsidRPr="00197E45">
        <w:t>Table 1 lists cut-off (all items rated neutral</w:t>
      </w:r>
      <w:r w:rsidR="0044445D">
        <w:t>+</w:t>
      </w:r>
      <w:r w:rsidRPr="00197E45">
        <w:t xml:space="preserve">) and mean total </w:t>
      </w:r>
      <w:r w:rsidR="004D36BC">
        <w:t xml:space="preserve">NDSVIAM </w:t>
      </w:r>
      <w:r w:rsidRPr="00197E45">
        <w:t>acceptability scores for each intervention.</w:t>
      </w:r>
      <w:r>
        <w:t xml:space="preserve"> All interventions were</w:t>
      </w:r>
      <w:r w:rsidR="005D5DAB">
        <w:t xml:space="preserve"> rated as</w:t>
      </w:r>
      <w:r>
        <w:t xml:space="preserve"> highly acceptable. </w:t>
      </w:r>
      <w:r w:rsidR="004D573C">
        <w:t>Consistent with the willingness and lack of willingness decision points</w:t>
      </w:r>
      <w:r w:rsidR="008C5863">
        <w:t>,</w:t>
      </w:r>
      <w:r w:rsidR="004D573C">
        <w:t xml:space="preserve"> there were some differences in overall acceptability scores</w:t>
      </w:r>
      <w:r w:rsidR="001C2DAD">
        <w:t xml:space="preserve">, </w:t>
      </w:r>
      <w:proofErr w:type="gramStart"/>
      <w:r w:rsidR="001C2DAD" w:rsidRPr="00C43726">
        <w:rPr>
          <w:i/>
          <w:iCs/>
        </w:rPr>
        <w:t>F</w:t>
      </w:r>
      <w:r w:rsidR="001C2DAD">
        <w:t>(</w:t>
      </w:r>
      <w:proofErr w:type="gramEnd"/>
      <w:r w:rsidR="001C2DAD">
        <w:t xml:space="preserve">3) = 7.75, </w:t>
      </w:r>
      <w:r w:rsidR="008C5863" w:rsidRPr="00255347">
        <w:rPr>
          <w:i/>
          <w:iCs/>
        </w:rPr>
        <w:t>p</w:t>
      </w:r>
      <w:r w:rsidR="001C2DAD">
        <w:t xml:space="preserve"> &lt; .001</w:t>
      </w:r>
      <w:r w:rsidR="002D4E7F">
        <w:t xml:space="preserve">, </w:t>
      </w:r>
      <w:r w:rsidR="002D4E7F" w:rsidRPr="002D4E7F">
        <w:rPr>
          <w:i/>
          <w:iCs/>
        </w:rPr>
        <w:t>d</w:t>
      </w:r>
      <w:r w:rsidR="002D4E7F" w:rsidRPr="002D4E7F">
        <w:t xml:space="preserve"> = .48, CI: .0</w:t>
      </w:r>
      <w:r w:rsidR="002D4E7F">
        <w:t>2</w:t>
      </w:r>
      <w:r w:rsidR="002D4E7F" w:rsidRPr="002D4E7F">
        <w:t>, .</w:t>
      </w:r>
      <w:r w:rsidR="002D4E7F">
        <w:t>10</w:t>
      </w:r>
      <w:r w:rsidR="004D573C">
        <w:t xml:space="preserve">. FTS had significantly higher scores than BITB </w:t>
      </w:r>
      <w:r w:rsidR="002D4E7F">
        <w:t>(</w:t>
      </w:r>
      <w:r w:rsidR="002D4E7F" w:rsidRPr="002D4E7F">
        <w:t xml:space="preserve">Tukey’s, </w:t>
      </w:r>
      <w:r w:rsidR="002D4E7F" w:rsidRPr="002D4E7F">
        <w:rPr>
          <w:i/>
          <w:iCs/>
        </w:rPr>
        <w:t>p</w:t>
      </w:r>
      <w:r w:rsidR="002D4E7F" w:rsidRPr="002D4E7F">
        <w:t xml:space="preserve"> &lt; .001, CI: </w:t>
      </w:r>
      <w:r w:rsidR="002D4E7F">
        <w:t>5.0</w:t>
      </w:r>
      <w:r w:rsidR="002D4E7F" w:rsidRPr="002D4E7F">
        <w:t xml:space="preserve">, 16.6, </w:t>
      </w:r>
      <w:r w:rsidR="002D4E7F" w:rsidRPr="002D4E7F">
        <w:rPr>
          <w:i/>
          <w:iCs/>
        </w:rPr>
        <w:t>d</w:t>
      </w:r>
      <w:r w:rsidR="002D4E7F" w:rsidRPr="002D4E7F">
        <w:t xml:space="preserve"> = .7</w:t>
      </w:r>
      <w:r w:rsidR="002D4E7F">
        <w:t>3</w:t>
      </w:r>
      <w:r w:rsidR="002D4E7F" w:rsidRPr="002D4E7F">
        <w:t>, CI: -1.04, -0.41</w:t>
      </w:r>
      <w:r w:rsidR="002D4E7F">
        <w:t xml:space="preserve">) </w:t>
      </w:r>
      <w:r w:rsidR="004D573C">
        <w:t>and SAARR</w:t>
      </w:r>
      <w:r w:rsidR="00227FDC">
        <w:t xml:space="preserve"> (</w:t>
      </w:r>
      <w:r w:rsidR="00227FDC" w:rsidRPr="00227FDC">
        <w:t xml:space="preserve">Tukey’s, </w:t>
      </w:r>
      <w:r w:rsidR="00227FDC" w:rsidRPr="00227FDC">
        <w:rPr>
          <w:i/>
          <w:iCs/>
        </w:rPr>
        <w:t>p</w:t>
      </w:r>
      <w:r w:rsidR="00227FDC" w:rsidRPr="00227FDC">
        <w:t xml:space="preserve"> = .016, CI: 0.87, 11.90, </w:t>
      </w:r>
      <w:r w:rsidR="00227FDC" w:rsidRPr="00227FDC">
        <w:rPr>
          <w:i/>
          <w:iCs/>
        </w:rPr>
        <w:t>d</w:t>
      </w:r>
      <w:r w:rsidR="00227FDC" w:rsidRPr="00227FDC">
        <w:t xml:space="preserve"> = .5</w:t>
      </w:r>
      <w:r w:rsidR="00227FDC">
        <w:t>4</w:t>
      </w:r>
      <w:r w:rsidR="00227FDC" w:rsidRPr="00227FDC">
        <w:t>, CI:</w:t>
      </w:r>
      <w:r w:rsidR="00FB1003">
        <w:t xml:space="preserve"> 0</w:t>
      </w:r>
      <w:r w:rsidR="00227FDC" w:rsidRPr="00227FDC">
        <w:t>.24</w:t>
      </w:r>
      <w:r w:rsidR="00FB1003">
        <w:t>, 0.83</w:t>
      </w:r>
      <w:r w:rsidR="00227FDC">
        <w:t>)</w:t>
      </w:r>
      <w:r w:rsidR="00D52697">
        <w:t>.</w:t>
      </w:r>
      <w:r w:rsidR="001C2DAD">
        <w:t xml:space="preserve"> BDI was also more acceptable than BITB</w:t>
      </w:r>
      <w:r w:rsidR="00227FDC">
        <w:t xml:space="preserve"> (</w:t>
      </w:r>
      <w:r w:rsidR="00227FDC" w:rsidRPr="00227FDC">
        <w:t xml:space="preserve">Tukey’s, </w:t>
      </w:r>
      <w:r w:rsidR="00227FDC" w:rsidRPr="00227FDC">
        <w:rPr>
          <w:i/>
          <w:iCs/>
        </w:rPr>
        <w:t>p</w:t>
      </w:r>
      <w:r w:rsidR="00227FDC" w:rsidRPr="00227FDC">
        <w:t xml:space="preserve"> = .050, CI: .0</w:t>
      </w:r>
      <w:r w:rsidR="00227FDC">
        <w:t>1</w:t>
      </w:r>
      <w:r w:rsidR="00227FDC" w:rsidRPr="00227FDC">
        <w:t xml:space="preserve">, 10.93, </w:t>
      </w:r>
      <w:r w:rsidR="00227FDC" w:rsidRPr="00227FDC">
        <w:rPr>
          <w:i/>
          <w:iCs/>
        </w:rPr>
        <w:t>d</w:t>
      </w:r>
      <w:r w:rsidR="00227FDC" w:rsidRPr="00227FDC">
        <w:t xml:space="preserve"> = .32, CI: </w:t>
      </w:r>
      <w:r w:rsidR="00FB1003">
        <w:t>.03, .61</w:t>
      </w:r>
      <w:r w:rsidR="00227FDC">
        <w:t>)</w:t>
      </w:r>
      <w:r w:rsidR="004D573C">
        <w:t>.</w:t>
      </w:r>
      <w:r w:rsidR="00664698">
        <w:t xml:space="preserve"> </w:t>
      </w:r>
    </w:p>
    <w:p w14:paraId="1E9DEE5D" w14:textId="1522FA2F" w:rsidR="007C5BE0" w:rsidRDefault="001C2DAD" w:rsidP="000A0E89">
      <w:r>
        <w:t>Because the entire sample rated FTS</w:t>
      </w:r>
      <w:r w:rsidR="008C5863">
        <w:t xml:space="preserve"> as acceptable</w:t>
      </w:r>
      <w:r>
        <w:t>, we also tested for differences in acceptability scores by demographics for FTS. Results suggest</w:t>
      </w:r>
      <w:r w:rsidR="00227FDC">
        <w:t xml:space="preserve">ed a significant difference based on the six-level combined gender and sexual identity variable, </w:t>
      </w:r>
      <w:proofErr w:type="gramStart"/>
      <w:r w:rsidR="00227FDC" w:rsidRPr="00227FDC">
        <w:rPr>
          <w:i/>
          <w:iCs/>
        </w:rPr>
        <w:t>F</w:t>
      </w:r>
      <w:r w:rsidR="00227FDC" w:rsidRPr="00227FDC">
        <w:t>(</w:t>
      </w:r>
      <w:proofErr w:type="gramEnd"/>
      <w:r w:rsidR="00227FDC" w:rsidRPr="00227FDC">
        <w:t xml:space="preserve">5) = 5.97 </w:t>
      </w:r>
      <w:r w:rsidR="00227FDC" w:rsidRPr="00227FDC">
        <w:rPr>
          <w:i/>
          <w:iCs/>
        </w:rPr>
        <w:t xml:space="preserve">p </w:t>
      </w:r>
      <w:r w:rsidR="00227FDC" w:rsidRPr="00227FDC">
        <w:t xml:space="preserve">&lt; .001, </w:t>
      </w:r>
      <w:r w:rsidR="00227FDC" w:rsidRPr="00227FDC">
        <w:rPr>
          <w:i/>
          <w:iCs/>
        </w:rPr>
        <w:t>d</w:t>
      </w:r>
      <w:r w:rsidR="00227FDC" w:rsidRPr="00227FDC">
        <w:t xml:space="preserve"> = .55, 95% CI: .02, .11</w:t>
      </w:r>
      <w:r w:rsidR="00227FDC">
        <w:t>.</w:t>
      </w:r>
      <w:r>
        <w:t xml:space="preserve"> </w:t>
      </w:r>
      <w:r w:rsidR="00227FDC">
        <w:t xml:space="preserve">Specifically, </w:t>
      </w:r>
      <w:r>
        <w:t xml:space="preserve">cisgender heterosexual women </w:t>
      </w:r>
      <w:r w:rsidR="00556402">
        <w:t xml:space="preserve">(Dunnett T3, </w:t>
      </w:r>
      <w:r w:rsidR="00556402">
        <w:rPr>
          <w:i/>
          <w:iCs/>
        </w:rPr>
        <w:t>p</w:t>
      </w:r>
      <w:r w:rsidR="00556402">
        <w:t xml:space="preserve"> = .013, CI: .48, 6.96, </w:t>
      </w:r>
      <w:r w:rsidR="00556402" w:rsidRPr="00C43726">
        <w:rPr>
          <w:i/>
          <w:iCs/>
        </w:rPr>
        <w:t>d</w:t>
      </w:r>
      <w:r w:rsidR="00556402">
        <w:t xml:space="preserve"> = </w:t>
      </w:r>
      <w:r w:rsidR="00FB1003">
        <w:t>.58</w:t>
      </w:r>
      <w:r w:rsidR="00556402">
        <w:t xml:space="preserve">, CI: </w:t>
      </w:r>
      <w:r w:rsidR="00FB1003">
        <w:t>.29, .86</w:t>
      </w:r>
      <w:r w:rsidR="00556402">
        <w:t xml:space="preserve">) </w:t>
      </w:r>
      <w:r>
        <w:t xml:space="preserve">and </w:t>
      </w:r>
      <w:r w:rsidR="008C5863">
        <w:t>T</w:t>
      </w:r>
      <w:r>
        <w:t>wo</w:t>
      </w:r>
      <w:r w:rsidR="008C5863">
        <w:t>-S</w:t>
      </w:r>
      <w:r>
        <w:t xml:space="preserve">pirit individuals </w:t>
      </w:r>
      <w:r w:rsidR="00556402">
        <w:t xml:space="preserve">(Dunnett T3, </w:t>
      </w:r>
      <w:r w:rsidR="00556402" w:rsidRPr="00556402">
        <w:rPr>
          <w:i/>
          <w:iCs/>
        </w:rPr>
        <w:t>p</w:t>
      </w:r>
      <w:r w:rsidR="00556402">
        <w:t xml:space="preserve"> &lt; .001, CI: 2.26, 9.42, </w:t>
      </w:r>
      <w:r w:rsidR="00556402">
        <w:rPr>
          <w:i/>
          <w:iCs/>
        </w:rPr>
        <w:t xml:space="preserve">d </w:t>
      </w:r>
      <w:r w:rsidR="00556402">
        <w:t xml:space="preserve">= </w:t>
      </w:r>
      <w:r w:rsidR="00FB1003">
        <w:t>.90</w:t>
      </w:r>
      <w:r w:rsidR="00556402">
        <w:t xml:space="preserve">, CI: </w:t>
      </w:r>
      <w:r w:rsidR="00FB1003">
        <w:t>0.44, 1.36</w:t>
      </w:r>
      <w:r w:rsidR="00556402">
        <w:t xml:space="preserve">) </w:t>
      </w:r>
      <w:r w:rsidRPr="00556402">
        <w:t>found</w:t>
      </w:r>
      <w:r>
        <w:t xml:space="preserve"> FTS more acceptable than cisgender heterosexual men. </w:t>
      </w:r>
      <w:r w:rsidR="00664698">
        <w:t xml:space="preserve">BDI was more acceptable to those with a victimization history, </w:t>
      </w:r>
      <w:proofErr w:type="gramStart"/>
      <w:r w:rsidR="00664698" w:rsidRPr="004270C1">
        <w:rPr>
          <w:i/>
          <w:iCs/>
        </w:rPr>
        <w:t>t</w:t>
      </w:r>
      <w:r w:rsidR="00664698">
        <w:t>(</w:t>
      </w:r>
      <w:proofErr w:type="gramEnd"/>
      <w:r w:rsidR="00664698">
        <w:t xml:space="preserve">103) = </w:t>
      </w:r>
      <w:r w:rsidR="004270C1">
        <w:t>2.418, CI: 1.98, 20.36), p = .018, Cohen’s d = .78; there were no other significant differences in acceptability scores by victimization history.</w:t>
      </w:r>
      <w:r w:rsidR="00664698">
        <w:t xml:space="preserve"> </w:t>
      </w:r>
      <w:r>
        <w:t xml:space="preserve">Individuals who had attended </w:t>
      </w:r>
      <w:r w:rsidR="008C5863">
        <w:t>TCUs</w:t>
      </w:r>
      <w:r>
        <w:t xml:space="preserve"> also found FTS more acceptable than those who had not, </w:t>
      </w:r>
      <w:proofErr w:type="gramStart"/>
      <w:r w:rsidR="00100BC8" w:rsidRPr="004270C1">
        <w:rPr>
          <w:i/>
          <w:iCs/>
        </w:rPr>
        <w:t>t</w:t>
      </w:r>
      <w:r w:rsidR="00100BC8">
        <w:t>(</w:t>
      </w:r>
      <w:proofErr w:type="gramEnd"/>
      <w:r w:rsidR="00100BC8">
        <w:t xml:space="preserve">399) = 2.25, </w:t>
      </w:r>
      <w:r w:rsidR="00100BC8" w:rsidRPr="00255347">
        <w:rPr>
          <w:i/>
          <w:iCs/>
        </w:rPr>
        <w:t>p</w:t>
      </w:r>
      <w:r w:rsidR="00100BC8">
        <w:t xml:space="preserve"> = .025</w:t>
      </w:r>
      <w:r w:rsidR="00FB1003">
        <w:t xml:space="preserve">, </w:t>
      </w:r>
      <w:r w:rsidR="00FB1003" w:rsidRPr="00FB1003">
        <w:t>CI: .1</w:t>
      </w:r>
      <w:r w:rsidR="00FB1003">
        <w:t>9</w:t>
      </w:r>
      <w:r w:rsidR="00FB1003" w:rsidRPr="00FB1003">
        <w:t xml:space="preserve">, 2.72, </w:t>
      </w:r>
      <w:r w:rsidR="00FB1003" w:rsidRPr="005D1B07">
        <w:rPr>
          <w:i/>
        </w:rPr>
        <w:t>d</w:t>
      </w:r>
      <w:r w:rsidR="00FB1003" w:rsidRPr="00FB1003">
        <w:t xml:space="preserve"> = .23, CI: .0</w:t>
      </w:r>
      <w:r w:rsidR="00FB1003">
        <w:t>3</w:t>
      </w:r>
      <w:r w:rsidR="00FB1003" w:rsidRPr="00FB1003">
        <w:t>, .4</w:t>
      </w:r>
      <w:r w:rsidR="00FB1003">
        <w:t>3</w:t>
      </w:r>
      <w:r w:rsidR="00100BC8">
        <w:t>.</w:t>
      </w:r>
      <w:r w:rsidR="00F12EC3">
        <w:t xml:space="preserve"> Similarly, those who had spent more time </w:t>
      </w:r>
      <w:r w:rsidR="00890B0A" w:rsidRPr="00890B0A">
        <w:t>growing up</w:t>
      </w:r>
      <w:r w:rsidR="00890B0A">
        <w:t xml:space="preserve"> on</w:t>
      </w:r>
      <w:r w:rsidR="00890B0A" w:rsidRPr="00890B0A">
        <w:t xml:space="preserve"> </w:t>
      </w:r>
      <w:r w:rsidR="00890B0A">
        <w:t xml:space="preserve">a </w:t>
      </w:r>
      <w:r w:rsidR="00F12EC3">
        <w:t xml:space="preserve">reservation had higher FTS acceptability scores, </w:t>
      </w:r>
      <w:proofErr w:type="gramStart"/>
      <w:r w:rsidR="00F12EC3" w:rsidRPr="006F2C0A">
        <w:rPr>
          <w:i/>
          <w:iCs/>
        </w:rPr>
        <w:t>r</w:t>
      </w:r>
      <w:r w:rsidR="00F12EC3">
        <w:t>(</w:t>
      </w:r>
      <w:proofErr w:type="gramEnd"/>
      <w:r w:rsidR="00F12EC3">
        <w:t xml:space="preserve">186) = .173, </w:t>
      </w:r>
      <w:r w:rsidR="00F12EC3" w:rsidRPr="00255347">
        <w:rPr>
          <w:i/>
          <w:iCs/>
        </w:rPr>
        <w:t>p</w:t>
      </w:r>
      <w:r w:rsidR="00F12EC3">
        <w:t xml:space="preserve"> = .018</w:t>
      </w:r>
      <w:r w:rsidR="00FC12D3">
        <w:t xml:space="preserve">, </w:t>
      </w:r>
      <w:bookmarkStart w:id="7" w:name="_Hlk147781713"/>
      <w:r w:rsidR="00FC12D3">
        <w:t xml:space="preserve">CI: .03, .31, </w:t>
      </w:r>
      <w:r w:rsidR="00FC12D3">
        <w:rPr>
          <w:i/>
          <w:iCs/>
        </w:rPr>
        <w:t xml:space="preserve">d </w:t>
      </w:r>
      <w:r w:rsidR="00FC12D3">
        <w:t>= .35</w:t>
      </w:r>
      <w:bookmarkEnd w:id="7"/>
      <w:r w:rsidR="00F12EC3">
        <w:t>.</w:t>
      </w:r>
    </w:p>
    <w:p w14:paraId="08401133" w14:textId="49142E21" w:rsidR="00AD01E0" w:rsidRDefault="00AD01E0" w:rsidP="00AD01E0">
      <w:pPr>
        <w:ind w:firstLine="0"/>
      </w:pPr>
      <w:r>
        <w:rPr>
          <w:b/>
          <w:bCs/>
          <w:i/>
          <w:iCs/>
        </w:rPr>
        <w:t>Cultural Context of Acceptability</w:t>
      </w:r>
    </w:p>
    <w:p w14:paraId="2E42CBCD" w14:textId="342CEBFB" w:rsidR="00AD01E0" w:rsidRDefault="00AD01E0" w:rsidP="00AD01E0">
      <w:pPr>
        <w:ind w:firstLine="0"/>
      </w:pPr>
      <w:r>
        <w:lastRenderedPageBreak/>
        <w:tab/>
      </w:r>
      <w:r w:rsidR="00961467">
        <w:rPr>
          <w:b/>
          <w:bCs/>
          <w:i/>
          <w:iCs/>
        </w:rPr>
        <w:t xml:space="preserve">Perceived community acceptability. </w:t>
      </w:r>
      <w:r>
        <w:t xml:space="preserve">A large number of participants noted they would </w:t>
      </w:r>
      <w:r w:rsidR="008C5863">
        <w:t xml:space="preserve">recommend </w:t>
      </w:r>
      <w:r w:rsidR="006F2C0A">
        <w:t>FTS</w:t>
      </w:r>
      <w:r>
        <w:t xml:space="preserve"> to a friend (74.3%), including </w:t>
      </w:r>
      <w:r w:rsidR="008C5863">
        <w:t xml:space="preserve">to </w:t>
      </w:r>
      <w:r w:rsidR="008C5863" w:rsidRPr="008C5863">
        <w:t>an Indigenous survivor of sexual violence (69.3%)</w:t>
      </w:r>
      <w:r w:rsidR="008C5863">
        <w:t xml:space="preserve">, and to </w:t>
      </w:r>
      <w:r>
        <w:t xml:space="preserve">a friend who had experienced sexual assault (64.6%), suggesting the perceived community acceptability of </w:t>
      </w:r>
      <w:r w:rsidR="006F2C0A">
        <w:t>FTS</w:t>
      </w:r>
      <w:r>
        <w:t xml:space="preserve"> would be high. </w:t>
      </w:r>
      <w:r w:rsidR="0009405F">
        <w:t xml:space="preserve">There was only one participant who said they would </w:t>
      </w:r>
      <w:r w:rsidR="0009405F" w:rsidRPr="00D87B6B">
        <w:rPr>
          <w:i/>
          <w:iCs/>
        </w:rPr>
        <w:t>not</w:t>
      </w:r>
      <w:r w:rsidR="0009405F">
        <w:t xml:space="preserve"> recommend </w:t>
      </w:r>
      <w:r w:rsidR="006F2C0A">
        <w:t>FTS</w:t>
      </w:r>
      <w:r w:rsidR="0009405F">
        <w:t xml:space="preserve"> to a </w:t>
      </w:r>
      <w:proofErr w:type="gramStart"/>
      <w:r w:rsidR="0009405F">
        <w:t>friend</w:t>
      </w:r>
      <w:r w:rsidR="00641E6C">
        <w:t>,</w:t>
      </w:r>
      <w:proofErr w:type="gramEnd"/>
      <w:r w:rsidR="00D87B6B">
        <w:t xml:space="preserve"> the rem</w:t>
      </w:r>
      <w:r w:rsidR="00641E6C">
        <w:t>a</w:t>
      </w:r>
      <w:r w:rsidR="00D87B6B">
        <w:t xml:space="preserve">inder of the sample was neither for </w:t>
      </w:r>
      <w:r w:rsidR="006F2C0A">
        <w:t>n</w:t>
      </w:r>
      <w:r w:rsidR="00D87B6B">
        <w:t>or against</w:t>
      </w:r>
      <w:r w:rsidR="008D06A3">
        <w:t xml:space="preserve">. </w:t>
      </w:r>
      <w:r w:rsidR="003652DB">
        <w:t xml:space="preserve">Cisgender men were less likely to recommend </w:t>
      </w:r>
      <w:r w:rsidR="006F2C0A">
        <w:t>FTS</w:t>
      </w:r>
      <w:r w:rsidR="003652DB">
        <w:t xml:space="preserve"> </w:t>
      </w:r>
      <w:r w:rsidR="00007D76">
        <w:t xml:space="preserve">to a friend </w:t>
      </w:r>
      <w:r w:rsidR="008C5863">
        <w:t xml:space="preserve">compared to </w:t>
      </w:r>
      <w:r w:rsidR="003652DB">
        <w:t xml:space="preserve">cisgender women </w:t>
      </w:r>
      <w:r w:rsidR="008C5863">
        <w:t>and T</w:t>
      </w:r>
      <w:r w:rsidR="003652DB">
        <w:t>wo-</w:t>
      </w:r>
      <w:r w:rsidR="008C5863">
        <w:t>S</w:t>
      </w:r>
      <w:r w:rsidR="003652DB">
        <w:t>pirit and trans</w:t>
      </w:r>
      <w:r w:rsidR="008C5863">
        <w:t>gender</w:t>
      </w:r>
      <w:r w:rsidR="003652DB">
        <w:t xml:space="preserve"> individuals, 52.6 % vs. 78.3% vs. 83.3%, </w:t>
      </w:r>
      <w:r w:rsidR="008C5863">
        <w:t xml:space="preserve">respectively, </w:t>
      </w:r>
      <w:r w:rsidR="00D87B6B">
        <w:rPr>
          <w:rFonts w:cstheme="minorHAnsi"/>
        </w:rPr>
        <w:t>χ</w:t>
      </w:r>
      <w:r w:rsidR="00D87B6B" w:rsidRPr="00D87B6B">
        <w:rPr>
          <w:vertAlign w:val="superscript"/>
        </w:rPr>
        <w:t>2</w:t>
      </w:r>
      <w:r w:rsidR="003652DB">
        <w:t>(</w:t>
      </w:r>
      <w:r w:rsidR="00FC12D3">
        <w:t>5</w:t>
      </w:r>
      <w:r w:rsidR="003652DB">
        <w:t xml:space="preserve">) = </w:t>
      </w:r>
      <w:r w:rsidR="00FC12D3" w:rsidRPr="00FC12D3">
        <w:t xml:space="preserve">24.90, </w:t>
      </w:r>
      <w:r w:rsidR="00FC12D3" w:rsidRPr="00FC12D3">
        <w:rPr>
          <w:i/>
          <w:iCs/>
        </w:rPr>
        <w:t>p</w:t>
      </w:r>
      <w:r w:rsidR="00FC12D3" w:rsidRPr="00FC12D3">
        <w:t xml:space="preserve"> &lt; .001, phi = .251, </w:t>
      </w:r>
      <w:r w:rsidR="00FC12D3" w:rsidRPr="00FC12D3">
        <w:rPr>
          <w:i/>
          <w:iCs/>
        </w:rPr>
        <w:t>d</w:t>
      </w:r>
      <w:r w:rsidR="00FC12D3" w:rsidRPr="00FC12D3">
        <w:t xml:space="preserve"> = .52</w:t>
      </w:r>
      <w:r w:rsidR="008C5863">
        <w:t xml:space="preserve">. </w:t>
      </w:r>
      <w:r w:rsidR="008D06A3">
        <w:t>T</w:t>
      </w:r>
      <w:r w:rsidR="00007D76">
        <w:t>here were no gender differences in recommendations for survivors</w:t>
      </w:r>
      <w:r w:rsidR="003652DB">
        <w:t>.</w:t>
      </w:r>
      <w:r w:rsidR="0009405F">
        <w:t xml:space="preserve"> Participants with a history of sexual victimization were more likely to recommend </w:t>
      </w:r>
      <w:r w:rsidR="006F2C0A">
        <w:t>FTS</w:t>
      </w:r>
      <w:r w:rsidR="0009405F">
        <w:t xml:space="preserve"> to a friend</w:t>
      </w:r>
      <w:r w:rsidR="008C5863">
        <w:t xml:space="preserve"> </w:t>
      </w:r>
      <w:r w:rsidR="008D06A3">
        <w:t>than</w:t>
      </w:r>
      <w:r w:rsidR="008C5863">
        <w:t xml:space="preserve"> those withou</w:t>
      </w:r>
      <w:r w:rsidR="008D06A3">
        <w:t>t</w:t>
      </w:r>
      <w:r w:rsidR="0009405F">
        <w:t xml:space="preserve">, 77.2 vs. 62.3%, </w:t>
      </w:r>
      <w:r w:rsidR="00D87B6B">
        <w:rPr>
          <w:rFonts w:cstheme="minorHAnsi"/>
        </w:rPr>
        <w:t>χ</w:t>
      </w:r>
      <w:r w:rsidR="00D87B6B" w:rsidRPr="00D87B6B">
        <w:rPr>
          <w:vertAlign w:val="superscript"/>
        </w:rPr>
        <w:t>2</w:t>
      </w:r>
      <w:r w:rsidR="00D87B6B">
        <w:t xml:space="preserve"> </w:t>
      </w:r>
      <w:r w:rsidR="0009405F">
        <w:t xml:space="preserve">(1) = </w:t>
      </w:r>
      <w:r w:rsidR="00FC12D3" w:rsidRPr="00FC12D3">
        <w:t xml:space="preserve">7.16, </w:t>
      </w:r>
      <w:r w:rsidR="00FC12D3" w:rsidRPr="00FC12D3">
        <w:rPr>
          <w:i/>
          <w:iCs/>
        </w:rPr>
        <w:t>p</w:t>
      </w:r>
      <w:r w:rsidR="00FC12D3" w:rsidRPr="00FC12D3">
        <w:t xml:space="preserve"> = .007, phi = .134, </w:t>
      </w:r>
      <w:r w:rsidR="00FC12D3" w:rsidRPr="00FC12D3">
        <w:rPr>
          <w:i/>
          <w:iCs/>
        </w:rPr>
        <w:t xml:space="preserve">d </w:t>
      </w:r>
      <w:r w:rsidR="00FC12D3" w:rsidRPr="00FC12D3">
        <w:t>= .27</w:t>
      </w:r>
      <w:r w:rsidR="0009405F">
        <w:t>.</w:t>
      </w:r>
    </w:p>
    <w:p w14:paraId="2E210FA2" w14:textId="6FFC5632" w:rsidR="003652DB" w:rsidRDefault="003652DB" w:rsidP="00AD01E0">
      <w:pPr>
        <w:ind w:firstLine="0"/>
      </w:pPr>
      <w:r>
        <w:tab/>
      </w:r>
      <w:r w:rsidR="00404C0B">
        <w:rPr>
          <w:b/>
          <w:bCs/>
          <w:i/>
          <w:iCs/>
        </w:rPr>
        <w:t xml:space="preserve">Identity </w:t>
      </w:r>
      <w:r w:rsidR="00961467">
        <w:rPr>
          <w:b/>
          <w:bCs/>
          <w:i/>
          <w:iCs/>
        </w:rPr>
        <w:t xml:space="preserve">of provider. </w:t>
      </w:r>
      <w:r>
        <w:t>Most participants preferred a provider of the same gender identity</w:t>
      </w:r>
      <w:r w:rsidR="008C5863">
        <w:t>;</w:t>
      </w:r>
      <w:r>
        <w:t xml:space="preserve"> however</w:t>
      </w:r>
      <w:r w:rsidR="008C5863">
        <w:t>,</w:t>
      </w:r>
      <w:r>
        <w:t xml:space="preserve"> many noted they would be open to providers of other genders. For example,</w:t>
      </w:r>
      <w:r w:rsidR="00B56BF9">
        <w:t xml:space="preserve"> </w:t>
      </w:r>
      <w:r w:rsidR="008C5863">
        <w:t>most</w:t>
      </w:r>
      <w:r w:rsidR="00B56BF9">
        <w:t xml:space="preserve"> women</w:t>
      </w:r>
      <w:r w:rsidR="008C5863">
        <w:t xml:space="preserve"> participants</w:t>
      </w:r>
      <w:r w:rsidR="00B56BF9">
        <w:t xml:space="preserve"> preferred women providers (8</w:t>
      </w:r>
      <w:r w:rsidR="00FC12D3">
        <w:t>6.5</w:t>
      </w:r>
      <w:r w:rsidR="00B56BF9">
        <w:t>%)</w:t>
      </w:r>
      <w:r w:rsidR="008C5863">
        <w:t>,</w:t>
      </w:r>
      <w:r w:rsidR="00B56BF9">
        <w:t xml:space="preserve"> but </w:t>
      </w:r>
      <w:r w:rsidR="008C5863">
        <w:t xml:space="preserve">over a quarter </w:t>
      </w:r>
      <w:r w:rsidR="00B56BF9">
        <w:t>(2</w:t>
      </w:r>
      <w:r w:rsidR="00FC12D3">
        <w:t>9.7</w:t>
      </w:r>
      <w:r w:rsidR="00B56BF9">
        <w:t>%) preferred men and a f</w:t>
      </w:r>
      <w:r w:rsidR="006F2C0A">
        <w:t>ew</w:t>
      </w:r>
      <w:r w:rsidR="00B56BF9">
        <w:t xml:space="preserve"> (1</w:t>
      </w:r>
      <w:r w:rsidR="00FC12D3">
        <w:t>3.5</w:t>
      </w:r>
      <w:r w:rsidR="00B56BF9">
        <w:t>%)</w:t>
      </w:r>
      <w:r w:rsidR="008C5863">
        <w:t xml:space="preserve"> preferred</w:t>
      </w:r>
      <w:r w:rsidR="00B56BF9">
        <w:t xml:space="preserve"> </w:t>
      </w:r>
      <w:r w:rsidR="008C5863">
        <w:t>T</w:t>
      </w:r>
      <w:r w:rsidR="00B56BF9">
        <w:t>wo</w:t>
      </w:r>
      <w:r w:rsidR="008C5863">
        <w:t>-S</w:t>
      </w:r>
      <w:r w:rsidR="00B56BF9">
        <w:t xml:space="preserve">pirit/nonbinary providers. Cisgender men did not </w:t>
      </w:r>
      <w:r w:rsidR="008C5863">
        <w:t xml:space="preserve">indicate </w:t>
      </w:r>
      <w:r w:rsidR="00B56BF9">
        <w:t>as strong</w:t>
      </w:r>
      <w:r w:rsidR="008C5863">
        <w:t xml:space="preserve"> of</w:t>
      </w:r>
      <w:r w:rsidR="00B56BF9">
        <w:t xml:space="preserve"> a preference for gender congruent providers as women (</w:t>
      </w:r>
      <w:r w:rsidR="00D87B6B">
        <w:rPr>
          <w:rFonts w:cstheme="minorHAnsi"/>
        </w:rPr>
        <w:t>χ</w:t>
      </w:r>
      <w:r w:rsidR="00D87B6B" w:rsidRPr="00D87B6B">
        <w:rPr>
          <w:vertAlign w:val="superscript"/>
        </w:rPr>
        <w:t>2</w:t>
      </w:r>
      <w:r w:rsidR="00B56BF9">
        <w:t xml:space="preserve">(1) = </w:t>
      </w:r>
      <w:r w:rsidR="00FC12D3">
        <w:t>27.24</w:t>
      </w:r>
      <w:r w:rsidR="00B56BF9">
        <w:t xml:space="preserve">, </w:t>
      </w:r>
      <w:r w:rsidR="00B56BF9" w:rsidRPr="00255347">
        <w:rPr>
          <w:i/>
          <w:iCs/>
        </w:rPr>
        <w:t>p</w:t>
      </w:r>
      <w:r w:rsidR="00B56BF9">
        <w:t xml:space="preserve"> &lt; .001</w:t>
      </w:r>
      <w:r w:rsidR="00FC12D3" w:rsidRPr="00FC12D3">
        <w:t xml:space="preserve">, </w:t>
      </w:r>
      <w:r w:rsidR="00FC12D3" w:rsidRPr="00FC12D3">
        <w:rPr>
          <w:i/>
          <w:iCs/>
        </w:rPr>
        <w:t>d</w:t>
      </w:r>
      <w:r w:rsidR="00FC12D3" w:rsidRPr="00FC12D3">
        <w:t xml:space="preserve"> = .566</w:t>
      </w:r>
      <w:r w:rsidR="00B56BF9">
        <w:t>)</w:t>
      </w:r>
      <w:r w:rsidR="006F2C0A">
        <w:t>,</w:t>
      </w:r>
      <w:r w:rsidR="00B56BF9">
        <w:t xml:space="preserve"> </w:t>
      </w:r>
      <w:r w:rsidR="008C5863">
        <w:t xml:space="preserve">with </w:t>
      </w:r>
      <w:r w:rsidR="00B56BF9">
        <w:t>5</w:t>
      </w:r>
      <w:r w:rsidR="00FC12D3">
        <w:t>9.7</w:t>
      </w:r>
      <w:r w:rsidR="00B56BF9">
        <w:t>%</w:t>
      </w:r>
      <w:r w:rsidR="008C5863">
        <w:t xml:space="preserve"> of male participants</w:t>
      </w:r>
      <w:r w:rsidR="00B56BF9">
        <w:t xml:space="preserve"> preferring men, </w:t>
      </w:r>
      <w:r w:rsidR="00FC12D3">
        <w:t>51.4</w:t>
      </w:r>
      <w:r w:rsidR="00B56BF9">
        <w:t xml:space="preserve">% </w:t>
      </w:r>
      <w:r w:rsidR="008C5863">
        <w:t xml:space="preserve">preferring </w:t>
      </w:r>
      <w:r w:rsidR="00B56BF9">
        <w:t>women</w:t>
      </w:r>
      <w:r w:rsidR="008C5863">
        <w:t>,</w:t>
      </w:r>
      <w:r w:rsidR="00B56BF9">
        <w:t xml:space="preserve"> and </w:t>
      </w:r>
      <w:r w:rsidR="00FC12D3">
        <w:t>13.9</w:t>
      </w:r>
      <w:r w:rsidR="00B56BF9">
        <w:t xml:space="preserve">% </w:t>
      </w:r>
      <w:r w:rsidR="008C5863">
        <w:t>preferring T</w:t>
      </w:r>
      <w:r w:rsidR="00B56BF9">
        <w:t>wo</w:t>
      </w:r>
      <w:r w:rsidR="008C5863">
        <w:t>-S</w:t>
      </w:r>
      <w:r w:rsidR="00B56BF9">
        <w:t xml:space="preserve">pirit/nonbinary providers. </w:t>
      </w:r>
      <w:r w:rsidR="008C5863">
        <w:t>Among T</w:t>
      </w:r>
      <w:r w:rsidR="00B56BF9">
        <w:t>wo-</w:t>
      </w:r>
      <w:r w:rsidR="008C5863">
        <w:t>S</w:t>
      </w:r>
      <w:r w:rsidR="00B56BF9">
        <w:t>pirit individuals</w:t>
      </w:r>
      <w:r w:rsidR="008C5863">
        <w:t>, they</w:t>
      </w:r>
      <w:r w:rsidR="00B56BF9">
        <w:t xml:space="preserve"> also did not evince a strong </w:t>
      </w:r>
      <w:r w:rsidR="00D25D73">
        <w:t xml:space="preserve">preference for </w:t>
      </w:r>
      <w:r w:rsidR="00B56BF9">
        <w:t xml:space="preserve">gender congruent </w:t>
      </w:r>
      <w:r w:rsidR="00D25D73">
        <w:t>providers, with m</w:t>
      </w:r>
      <w:r w:rsidR="00B56BF9">
        <w:t xml:space="preserve">ost </w:t>
      </w:r>
      <w:r w:rsidR="008C5863">
        <w:t>T</w:t>
      </w:r>
      <w:r w:rsidR="00B56BF9">
        <w:t>wo</w:t>
      </w:r>
      <w:r w:rsidR="008C5863">
        <w:t>-S</w:t>
      </w:r>
      <w:r w:rsidR="00B56BF9">
        <w:t>pirit participants preferr</w:t>
      </w:r>
      <w:r w:rsidR="00D25D73">
        <w:t>ing</w:t>
      </w:r>
      <w:r w:rsidR="00B56BF9">
        <w:t xml:space="preserve"> men </w:t>
      </w:r>
      <w:r w:rsidR="00D25D73">
        <w:t>(53.13%) and</w:t>
      </w:r>
      <w:r w:rsidR="00B56BF9">
        <w:t xml:space="preserve"> women</w:t>
      </w:r>
      <w:r w:rsidR="00D25D73" w:rsidRPr="00D25D73">
        <w:t xml:space="preserve"> </w:t>
      </w:r>
      <w:r w:rsidR="00D25D73">
        <w:t>(62.5%) intervention providers</w:t>
      </w:r>
      <w:r w:rsidR="00B56BF9">
        <w:t xml:space="preserve">, and </w:t>
      </w:r>
      <w:r w:rsidR="00FC12D3">
        <w:t>9.38</w:t>
      </w:r>
      <w:r w:rsidR="00B56BF9">
        <w:t>%</w:t>
      </w:r>
      <w:r w:rsidR="008C5863">
        <w:t xml:space="preserve"> preferred</w:t>
      </w:r>
      <w:r w:rsidR="00B56BF9">
        <w:t xml:space="preserve"> a </w:t>
      </w:r>
      <w:r w:rsidR="008C5863">
        <w:t>T</w:t>
      </w:r>
      <w:r w:rsidR="00B56BF9">
        <w:t>wo-</w:t>
      </w:r>
      <w:r w:rsidR="008C5863">
        <w:t>S</w:t>
      </w:r>
      <w:r w:rsidR="00B56BF9">
        <w:t>pirit/nonbinary</w:t>
      </w:r>
      <w:r w:rsidR="00D25D73">
        <w:t xml:space="preserve"> provider</w:t>
      </w:r>
      <w:r w:rsidR="00B56BF9">
        <w:t xml:space="preserve">. </w:t>
      </w:r>
      <w:r w:rsidR="00D25D73">
        <w:t>However, due</w:t>
      </w:r>
      <w:r w:rsidR="00D25D73" w:rsidRPr="00D25D73">
        <w:t xml:space="preserve"> to the small sample of Two-Spirit individuals who indicated a preference </w:t>
      </w:r>
      <w:r w:rsidR="00D25D73">
        <w:t>for</w:t>
      </w:r>
      <w:r w:rsidR="00D25D73" w:rsidRPr="00D25D73">
        <w:t xml:space="preserve"> gender congruent providers (n=3), between-group comparisons were not examined.</w:t>
      </w:r>
      <w:r w:rsidR="00D25D73">
        <w:t xml:space="preserve"> </w:t>
      </w:r>
      <w:r w:rsidR="00F87E33">
        <w:t>Among those with victimization history, women indicated a stronger preference for gender congruent providers than both men</w:t>
      </w:r>
      <w:r w:rsidR="00641E6C">
        <w:t xml:space="preserve"> and Two-Spirit/nonbinary </w:t>
      </w:r>
      <w:r w:rsidR="001C3B76">
        <w:t>individuals</w:t>
      </w:r>
      <w:r w:rsidR="00F87E33">
        <w:t xml:space="preserve"> (</w:t>
      </w:r>
      <w:r w:rsidR="00F87E33">
        <w:rPr>
          <w:rFonts w:cstheme="minorHAnsi"/>
        </w:rPr>
        <w:t>χ</w:t>
      </w:r>
      <w:r w:rsidR="00F87E33" w:rsidRPr="00D87B6B">
        <w:rPr>
          <w:vertAlign w:val="superscript"/>
        </w:rPr>
        <w:t>2</w:t>
      </w:r>
      <w:r w:rsidR="00F87E33">
        <w:t xml:space="preserve"> (1) = </w:t>
      </w:r>
      <w:r w:rsidR="00F87E33" w:rsidRPr="00FC12D3">
        <w:lastRenderedPageBreak/>
        <w:t>22.</w:t>
      </w:r>
      <w:r w:rsidR="00F87E33">
        <w:t>17.36</w:t>
      </w:r>
      <w:r w:rsidR="00F87E33" w:rsidRPr="00FC12D3">
        <w:t xml:space="preserve">, </w:t>
      </w:r>
      <w:r w:rsidR="00F87E33" w:rsidRPr="00FC12D3">
        <w:rPr>
          <w:i/>
          <w:iCs/>
        </w:rPr>
        <w:t>p</w:t>
      </w:r>
      <w:r w:rsidR="00F87E33" w:rsidRPr="00FC12D3">
        <w:t xml:space="preserve"> &lt; .001, </w:t>
      </w:r>
      <w:r w:rsidR="00F87E33" w:rsidRPr="00FC12D3">
        <w:rPr>
          <w:i/>
          <w:iCs/>
        </w:rPr>
        <w:t>d</w:t>
      </w:r>
      <w:r w:rsidR="00F87E33" w:rsidRPr="00FC12D3">
        <w:t xml:space="preserve"> = </w:t>
      </w:r>
      <w:r w:rsidR="008A0845">
        <w:t>.50</w:t>
      </w:r>
      <w:r w:rsidR="00F87E33">
        <w:t xml:space="preserve">). </w:t>
      </w:r>
      <w:r w:rsidR="008B55CF">
        <w:t>Notedly, while women with victimization history did not differ from women without victimization history in strength of preference for gender congruent providers (</w:t>
      </w:r>
      <w:r w:rsidR="008B55CF">
        <w:rPr>
          <w:rFonts w:cstheme="minorHAnsi"/>
        </w:rPr>
        <w:t>χ</w:t>
      </w:r>
      <w:r w:rsidR="008B55CF" w:rsidRPr="00D87B6B">
        <w:rPr>
          <w:vertAlign w:val="superscript"/>
        </w:rPr>
        <w:t>2</w:t>
      </w:r>
      <w:r w:rsidR="008B55CF">
        <w:t xml:space="preserve"> (1) = </w:t>
      </w:r>
      <w:r w:rsidR="00B610CA">
        <w:t>.941</w:t>
      </w:r>
      <w:r w:rsidR="008B55CF" w:rsidRPr="00FC12D3">
        <w:t xml:space="preserve">, </w:t>
      </w:r>
      <w:r w:rsidR="008B55CF" w:rsidRPr="00FC12D3">
        <w:rPr>
          <w:i/>
          <w:iCs/>
        </w:rPr>
        <w:t>p</w:t>
      </w:r>
      <w:r w:rsidR="008B55CF" w:rsidRPr="00FC12D3">
        <w:t xml:space="preserve"> </w:t>
      </w:r>
      <w:r w:rsidR="00B610CA">
        <w:t>=</w:t>
      </w:r>
      <w:r w:rsidR="008B55CF" w:rsidRPr="00FC12D3">
        <w:t xml:space="preserve"> .</w:t>
      </w:r>
      <w:r w:rsidR="00B610CA">
        <w:t>332</w:t>
      </w:r>
      <w:r w:rsidR="008B55CF">
        <w:t>), men with victimization history indicated a stronger preference for gender congruent providers than men without victimization history</w:t>
      </w:r>
      <w:r w:rsidR="00B610CA">
        <w:t xml:space="preserve"> (</w:t>
      </w:r>
      <w:r w:rsidR="00B610CA">
        <w:rPr>
          <w:rFonts w:cstheme="minorHAnsi"/>
        </w:rPr>
        <w:t>χ</w:t>
      </w:r>
      <w:r w:rsidR="00B610CA" w:rsidRPr="00D87B6B">
        <w:rPr>
          <w:vertAlign w:val="superscript"/>
        </w:rPr>
        <w:t>2</w:t>
      </w:r>
      <w:r w:rsidR="00B610CA">
        <w:t xml:space="preserve"> (1) = 5.93</w:t>
      </w:r>
      <w:r w:rsidR="00B610CA" w:rsidRPr="00FC12D3">
        <w:t xml:space="preserve">, </w:t>
      </w:r>
      <w:r w:rsidR="00B610CA" w:rsidRPr="00FC12D3">
        <w:rPr>
          <w:i/>
          <w:iCs/>
        </w:rPr>
        <w:t>p</w:t>
      </w:r>
      <w:r w:rsidR="00B610CA" w:rsidRPr="00FC12D3">
        <w:t xml:space="preserve"> </w:t>
      </w:r>
      <w:r w:rsidR="00B610CA">
        <w:t>= .015</w:t>
      </w:r>
      <w:r w:rsidR="00B610CA" w:rsidRPr="00FC12D3">
        <w:t xml:space="preserve">, </w:t>
      </w:r>
      <w:r w:rsidR="00B610CA" w:rsidRPr="00FC12D3">
        <w:rPr>
          <w:i/>
          <w:iCs/>
        </w:rPr>
        <w:t>d</w:t>
      </w:r>
      <w:r w:rsidR="00B610CA" w:rsidRPr="00FC12D3">
        <w:t xml:space="preserve"> = </w:t>
      </w:r>
      <w:r w:rsidR="00B610CA">
        <w:t>.60)</w:t>
      </w:r>
      <w:r w:rsidR="008B55CF">
        <w:t>.</w:t>
      </w:r>
    </w:p>
    <w:p w14:paraId="6DE4DBF7" w14:textId="31C6D33D" w:rsidR="00404C0B" w:rsidRDefault="00404C0B" w:rsidP="00AD01E0">
      <w:pPr>
        <w:ind w:firstLine="0"/>
      </w:pPr>
      <w:r>
        <w:tab/>
      </w:r>
      <w:r w:rsidR="008C5863">
        <w:t>Regarding racial/ethnicity of providers, m</w:t>
      </w:r>
      <w:r>
        <w:t xml:space="preserve">ost participants (66.1%) preferred an Indigenous provider. Men preferred this less strongly than cisgender women or </w:t>
      </w:r>
      <w:r w:rsidR="008C5863">
        <w:t>T</w:t>
      </w:r>
      <w:r>
        <w:t>wo-</w:t>
      </w:r>
      <w:r w:rsidR="008C5863">
        <w:t>S</w:t>
      </w:r>
      <w:r>
        <w:t>pirit participants (</w:t>
      </w:r>
      <w:r w:rsidR="005D69F7" w:rsidRPr="005D69F7">
        <w:t>75.4% vs. 87.8% and 87.5%, χ</w:t>
      </w:r>
      <w:r w:rsidR="005D69F7" w:rsidRPr="005D69F7">
        <w:rPr>
          <w:vertAlign w:val="superscript"/>
        </w:rPr>
        <w:t>2</w:t>
      </w:r>
      <w:r w:rsidR="005D69F7" w:rsidRPr="005D69F7">
        <w:t xml:space="preserve">(4) = 9.92, </w:t>
      </w:r>
      <w:r w:rsidR="005D69F7" w:rsidRPr="005D69F7">
        <w:rPr>
          <w:i/>
          <w:iCs/>
        </w:rPr>
        <w:t>p</w:t>
      </w:r>
      <w:r w:rsidR="005D69F7" w:rsidRPr="005D69F7">
        <w:t xml:space="preserve"> = .042, phi = .1</w:t>
      </w:r>
      <w:r w:rsidR="005D69F7">
        <w:t>6</w:t>
      </w:r>
      <w:r w:rsidR="005D69F7" w:rsidRPr="005D69F7">
        <w:t xml:space="preserve">, </w:t>
      </w:r>
      <w:r w:rsidR="005D69F7" w:rsidRPr="005D69F7">
        <w:rPr>
          <w:i/>
          <w:iCs/>
        </w:rPr>
        <w:t>d</w:t>
      </w:r>
      <w:r w:rsidR="005D69F7" w:rsidRPr="005D69F7">
        <w:t xml:space="preserve"> = .32</w:t>
      </w:r>
      <w:r w:rsidR="006F2C0A">
        <w:t>)</w:t>
      </w:r>
      <w:r>
        <w:t xml:space="preserve">. Participants who had attended a </w:t>
      </w:r>
      <w:r w:rsidR="005A43A6">
        <w:t>TCU</w:t>
      </w:r>
      <w:r>
        <w:t xml:space="preserve"> </w:t>
      </w:r>
      <w:r w:rsidR="005A43A6">
        <w:t xml:space="preserve">indicated a higher preference for </w:t>
      </w:r>
      <w:r>
        <w:t>an Indigenous provider compared to those who did not</w:t>
      </w:r>
      <w:r w:rsidR="005A43A6">
        <w:t xml:space="preserve"> attend a TCU</w:t>
      </w:r>
      <w:r>
        <w:t xml:space="preserve"> (</w:t>
      </w:r>
      <w:r w:rsidR="004D1C84" w:rsidRPr="004D1C84">
        <w:t>91.2% vs. 78.2%, χ</w:t>
      </w:r>
      <w:r w:rsidR="004D1C84" w:rsidRPr="004D1C84">
        <w:rPr>
          <w:vertAlign w:val="superscript"/>
        </w:rPr>
        <w:t>2</w:t>
      </w:r>
      <w:r w:rsidR="004D1C84" w:rsidRPr="004D1C84">
        <w:t xml:space="preserve">(2) = 16.63, </w:t>
      </w:r>
      <w:r w:rsidR="004D1C84" w:rsidRPr="004D1C84">
        <w:rPr>
          <w:i/>
          <w:iCs/>
        </w:rPr>
        <w:t>p</w:t>
      </w:r>
      <w:r w:rsidR="004D1C84" w:rsidRPr="004D1C84">
        <w:t xml:space="preserve"> &lt; .001, phi = .2</w:t>
      </w:r>
      <w:r w:rsidR="004D1C84">
        <w:t>1</w:t>
      </w:r>
      <w:r w:rsidR="004D1C84" w:rsidRPr="004D1C84">
        <w:t>, d = .42</w:t>
      </w:r>
      <w:r w:rsidR="006F2C0A">
        <w:t>)</w:t>
      </w:r>
      <w:r>
        <w:t>.</w:t>
      </w:r>
      <w:r w:rsidR="00784F19">
        <w:t xml:space="preserve"> </w:t>
      </w:r>
      <w:r w:rsidR="005A43A6">
        <w:t>Additionally, t</w:t>
      </w:r>
      <w:r w:rsidR="00784F19">
        <w:t xml:space="preserve">here was no </w:t>
      </w:r>
      <w:r w:rsidR="005A43A6">
        <w:t>difference</w:t>
      </w:r>
      <w:r w:rsidR="00641E6C">
        <w:t xml:space="preserve"> in provider preference</w:t>
      </w:r>
      <w:r w:rsidR="00784F19">
        <w:t xml:space="preserve"> victimization history</w:t>
      </w:r>
      <w:r w:rsidR="005A43A6">
        <w:t>.</w:t>
      </w:r>
    </w:p>
    <w:p w14:paraId="4AF2A826" w14:textId="5C239593" w:rsidR="0009405F" w:rsidRPr="00AD01E0" w:rsidRDefault="0009405F" w:rsidP="00AD01E0">
      <w:pPr>
        <w:ind w:firstLine="0"/>
      </w:pPr>
      <w:r>
        <w:tab/>
      </w:r>
      <w:r w:rsidR="00961467">
        <w:rPr>
          <w:b/>
          <w:bCs/>
          <w:i/>
          <w:iCs/>
        </w:rPr>
        <w:t xml:space="preserve">Setting of intervention. </w:t>
      </w:r>
      <w:r>
        <w:t xml:space="preserve">The most popular </w:t>
      </w:r>
      <w:r w:rsidR="00C949F5">
        <w:t>setting for</w:t>
      </w:r>
      <w:r>
        <w:t xml:space="preserve"> </w:t>
      </w:r>
      <w:r w:rsidR="006F2C0A">
        <w:t>FTS</w:t>
      </w:r>
      <w:r>
        <w:t xml:space="preserve"> was at college/school (</w:t>
      </w:r>
      <w:r w:rsidR="0004491D">
        <w:t>75.8</w:t>
      </w:r>
      <w:r>
        <w:t>%)</w:t>
      </w:r>
      <w:r w:rsidR="00E347EB">
        <w:t>,</w:t>
      </w:r>
      <w:r>
        <w:t xml:space="preserve"> followed closely by tribal lands/within </w:t>
      </w:r>
      <w:r w:rsidR="00E347EB">
        <w:t>their</w:t>
      </w:r>
      <w:r>
        <w:t xml:space="preserve"> community (</w:t>
      </w:r>
      <w:r w:rsidR="0004491D">
        <w:t>63.1</w:t>
      </w:r>
      <w:r>
        <w:t>%), and lastly, within a traditional research or hospital setting (</w:t>
      </w:r>
      <w:r w:rsidR="0004491D">
        <w:t>51.6</w:t>
      </w:r>
      <w:r>
        <w:t xml:space="preserve">%). People </w:t>
      </w:r>
      <w:r w:rsidRPr="00A27D44">
        <w:rPr>
          <w:i/>
          <w:iCs/>
        </w:rPr>
        <w:t>with</w:t>
      </w:r>
      <w:r w:rsidRPr="00641E6C">
        <w:rPr>
          <w:i/>
          <w:iCs/>
        </w:rPr>
        <w:t>out</w:t>
      </w:r>
      <w:r w:rsidRPr="00A27D44">
        <w:rPr>
          <w:i/>
          <w:iCs/>
        </w:rPr>
        <w:t xml:space="preserve"> </w:t>
      </w:r>
      <w:r>
        <w:t xml:space="preserve">a history of sexual victimization were less likely to prefer </w:t>
      </w:r>
      <w:r w:rsidR="00E347EB">
        <w:t>FTS</w:t>
      </w:r>
      <w:r>
        <w:t xml:space="preserve"> be </w:t>
      </w:r>
      <w:r w:rsidR="005A43A6">
        <w:t xml:space="preserve">provided </w:t>
      </w:r>
      <w:r>
        <w:t>on tribal lands/within the community (</w:t>
      </w:r>
      <w:r w:rsidR="0004491D" w:rsidRPr="0004491D">
        <w:t>59.9% vs. 76.6%, χ</w:t>
      </w:r>
      <w:r w:rsidR="0004491D" w:rsidRPr="0004491D">
        <w:rPr>
          <w:vertAlign w:val="superscript"/>
        </w:rPr>
        <w:t>2</w:t>
      </w:r>
      <w:r w:rsidR="0004491D" w:rsidRPr="0004491D">
        <w:t xml:space="preserve">(1) = 7.49, </w:t>
      </w:r>
      <w:r w:rsidR="0004491D" w:rsidRPr="0004491D">
        <w:rPr>
          <w:i/>
          <w:iCs/>
        </w:rPr>
        <w:t>p</w:t>
      </w:r>
      <w:r w:rsidR="0004491D" w:rsidRPr="0004491D">
        <w:t xml:space="preserve"> = .006 phi = -.137, </w:t>
      </w:r>
      <w:r w:rsidR="0004491D" w:rsidRPr="0004491D">
        <w:rPr>
          <w:i/>
          <w:iCs/>
        </w:rPr>
        <w:t>d</w:t>
      </w:r>
      <w:r w:rsidR="0004491D" w:rsidRPr="0004491D">
        <w:t xml:space="preserve"> = .28</w:t>
      </w:r>
      <w:r w:rsidR="00E347EB">
        <w:t>)</w:t>
      </w:r>
      <w:r>
        <w:t xml:space="preserve">. </w:t>
      </w:r>
      <w:r w:rsidR="00961467">
        <w:t xml:space="preserve">People who attended a </w:t>
      </w:r>
      <w:r w:rsidR="005A43A6">
        <w:t>TCU</w:t>
      </w:r>
      <w:r w:rsidR="00961467">
        <w:t xml:space="preserve"> were more likely to prefer </w:t>
      </w:r>
      <w:r w:rsidR="006F2C0A">
        <w:t>FTS</w:t>
      </w:r>
      <w:r w:rsidR="00961467">
        <w:t xml:space="preserve"> be offered on tribal lands (67.5 vs. 57.2%, </w:t>
      </w:r>
      <w:r w:rsidR="006F2C0A">
        <w:rPr>
          <w:rFonts w:cstheme="minorHAnsi"/>
        </w:rPr>
        <w:t>χ</w:t>
      </w:r>
      <w:r w:rsidR="006F2C0A" w:rsidRPr="00D87B6B">
        <w:rPr>
          <w:vertAlign w:val="superscript"/>
        </w:rPr>
        <w:t>2</w:t>
      </w:r>
      <w:r w:rsidR="00961467">
        <w:t xml:space="preserve">(1) = </w:t>
      </w:r>
      <w:r w:rsidR="0004491D" w:rsidRPr="0004491D">
        <w:t xml:space="preserve">4.50, </w:t>
      </w:r>
      <w:r w:rsidR="0004491D" w:rsidRPr="0004491D">
        <w:rPr>
          <w:i/>
          <w:iCs/>
        </w:rPr>
        <w:t>p</w:t>
      </w:r>
      <w:r w:rsidR="0004491D" w:rsidRPr="0004491D">
        <w:t xml:space="preserve"> = .034, phi = .1</w:t>
      </w:r>
      <w:r w:rsidR="0004491D">
        <w:t>1</w:t>
      </w:r>
      <w:r w:rsidR="0004491D" w:rsidRPr="0004491D">
        <w:t xml:space="preserve">, </w:t>
      </w:r>
      <w:r w:rsidR="0004491D" w:rsidRPr="0004491D">
        <w:rPr>
          <w:i/>
          <w:iCs/>
        </w:rPr>
        <w:t>d</w:t>
      </w:r>
      <w:r w:rsidR="0004491D" w:rsidRPr="0004491D">
        <w:t xml:space="preserve"> = .2</w:t>
      </w:r>
      <w:r w:rsidR="0004491D">
        <w:t>1</w:t>
      </w:r>
      <w:r w:rsidR="00E347EB">
        <w:t>)</w:t>
      </w:r>
      <w:r w:rsidR="00961467">
        <w:t>.</w:t>
      </w:r>
    </w:p>
    <w:p w14:paraId="7A2F14FA" w14:textId="77777777" w:rsidR="00CF76D8" w:rsidRPr="004E0189" w:rsidRDefault="00123E65" w:rsidP="00CF76D8">
      <w:pPr>
        <w:ind w:firstLine="0"/>
        <w:rPr>
          <w:b/>
          <w:bCs/>
        </w:rPr>
      </w:pPr>
      <w:r w:rsidRPr="004E0189">
        <w:rPr>
          <w:b/>
          <w:bCs/>
        </w:rPr>
        <w:t>Predictors of Acceptability</w:t>
      </w:r>
    </w:p>
    <w:p w14:paraId="23662543" w14:textId="5381D6CB" w:rsidR="00C35C42" w:rsidRDefault="00F060A0" w:rsidP="000A0E89">
      <w:r>
        <w:t xml:space="preserve">We </w:t>
      </w:r>
      <w:r w:rsidR="005A43A6">
        <w:t xml:space="preserve">conducted </w:t>
      </w:r>
      <w:r>
        <w:t xml:space="preserve">regressions to analyze whether prior experience of </w:t>
      </w:r>
      <w:r w:rsidR="00623A84">
        <w:t>SVRRI</w:t>
      </w:r>
      <w:r>
        <w:t>s influenced FTS acceptability scores</w:t>
      </w:r>
      <w:r w:rsidR="00F12EC3">
        <w:t xml:space="preserve"> given prior research suggesting this might be the case</w:t>
      </w:r>
      <w:r w:rsidR="00E347EB">
        <w:t xml:space="preserve"> (Kuhn, 2022)</w:t>
      </w:r>
      <w:r w:rsidR="00F12EC3">
        <w:t>. We also tested whether time spent on reservation</w:t>
      </w:r>
      <w:r w:rsidR="00641E6C">
        <w:t xml:space="preserve">, </w:t>
      </w:r>
      <w:r w:rsidR="00F12EC3">
        <w:t>feeling safe at home</w:t>
      </w:r>
      <w:r w:rsidR="00641E6C">
        <w:t>, and feeling safe while growing up</w:t>
      </w:r>
      <w:r w:rsidR="00F12EC3">
        <w:t xml:space="preserve"> related to FTS acceptability scores. </w:t>
      </w:r>
      <w:bookmarkStart w:id="8" w:name="_Hlk160483837"/>
      <w:r w:rsidR="00837C71">
        <w:t xml:space="preserve">This resulted in a significant model, </w:t>
      </w:r>
      <w:proofErr w:type="gramStart"/>
      <w:r w:rsidR="00837C71" w:rsidRPr="003E77A9">
        <w:rPr>
          <w:i/>
          <w:iCs/>
        </w:rPr>
        <w:t>F</w:t>
      </w:r>
      <w:r w:rsidR="00837C71">
        <w:t>(</w:t>
      </w:r>
      <w:proofErr w:type="gramEnd"/>
      <w:r w:rsidR="00837C71">
        <w:t>6, 387) = 3.</w:t>
      </w:r>
      <w:r w:rsidR="00D41386">
        <w:t>77</w:t>
      </w:r>
      <w:r w:rsidR="00837C71">
        <w:t>,</w:t>
      </w:r>
      <w:r w:rsidR="00837C71" w:rsidRPr="003E77A9">
        <w:rPr>
          <w:i/>
          <w:iCs/>
        </w:rPr>
        <w:t xml:space="preserve"> p</w:t>
      </w:r>
      <w:r w:rsidR="00837C71">
        <w:t xml:space="preserve"> = .001, </w:t>
      </w:r>
      <w:r w:rsidR="00837C71" w:rsidRPr="003E77A9">
        <w:rPr>
          <w:i/>
          <w:iCs/>
        </w:rPr>
        <w:t>R</w:t>
      </w:r>
      <w:r w:rsidR="00837C71" w:rsidRPr="003E77A9">
        <w:rPr>
          <w:i/>
          <w:iCs/>
          <w:vertAlign w:val="superscript"/>
        </w:rPr>
        <w:t>2</w:t>
      </w:r>
      <w:r w:rsidR="00837C71">
        <w:t xml:space="preserve"> = .06</w:t>
      </w:r>
      <w:r w:rsidR="003E77A9">
        <w:t>, see Table 2</w:t>
      </w:r>
      <w:r w:rsidR="00837C71">
        <w:t xml:space="preserve">. The </w:t>
      </w:r>
      <w:r w:rsidR="003E77A9">
        <w:t xml:space="preserve">only significant </w:t>
      </w:r>
      <w:r w:rsidR="00837C71">
        <w:t xml:space="preserve">predictors </w:t>
      </w:r>
      <w:proofErr w:type="gramStart"/>
      <w:r w:rsidR="00837C71">
        <w:t>w</w:t>
      </w:r>
      <w:r w:rsidR="003E77A9">
        <w:t>as</w:t>
      </w:r>
      <w:proofErr w:type="gramEnd"/>
      <w:r w:rsidR="00837C71">
        <w:t xml:space="preserve"> time spent on a reservation</w:t>
      </w:r>
      <w:r w:rsidR="000B3910">
        <w:t xml:space="preserve">, </w:t>
      </w:r>
      <w:r w:rsidR="00837C71" w:rsidRPr="003E77A9">
        <w:rPr>
          <w:i/>
          <w:iCs/>
        </w:rPr>
        <w:t>B</w:t>
      </w:r>
      <w:r w:rsidR="000B3910">
        <w:rPr>
          <w:i/>
          <w:iCs/>
        </w:rPr>
        <w:t xml:space="preserve"> </w:t>
      </w:r>
      <w:r w:rsidR="00837C71">
        <w:t>=</w:t>
      </w:r>
      <w:r w:rsidR="000B3910">
        <w:t xml:space="preserve"> </w:t>
      </w:r>
      <w:r w:rsidR="00837C71">
        <w:t>.</w:t>
      </w:r>
      <w:r w:rsidR="000B3910">
        <w:t xml:space="preserve">20, </w:t>
      </w:r>
      <w:r w:rsidR="000B3910" w:rsidRPr="003E77A9">
        <w:rPr>
          <w:i/>
          <w:iCs/>
        </w:rPr>
        <w:t>p</w:t>
      </w:r>
      <w:r w:rsidR="000B3910">
        <w:t xml:space="preserve"> &lt; .001, 95% CI (.</w:t>
      </w:r>
      <w:r w:rsidR="00D41386">
        <w:t>39</w:t>
      </w:r>
      <w:r w:rsidR="000B3910">
        <w:t>, 1.</w:t>
      </w:r>
      <w:r w:rsidR="00D41386">
        <w:t>21</w:t>
      </w:r>
      <w:r w:rsidR="000B3910">
        <w:t>)</w:t>
      </w:r>
      <w:r w:rsidR="00E42258">
        <w:t xml:space="preserve">, </w:t>
      </w:r>
      <w:r w:rsidR="00E42258" w:rsidRPr="003E77A9">
        <w:rPr>
          <w:i/>
          <w:iCs/>
        </w:rPr>
        <w:t>d</w:t>
      </w:r>
      <w:r w:rsidR="00E42258">
        <w:t xml:space="preserve"> = .52</w:t>
      </w:r>
      <w:r w:rsidR="00837C71">
        <w:t xml:space="preserve">. </w:t>
      </w:r>
      <w:bookmarkEnd w:id="8"/>
    </w:p>
    <w:p w14:paraId="62558AD1" w14:textId="2AC550A5" w:rsidR="00807127" w:rsidRPr="004E0189" w:rsidRDefault="00027E47" w:rsidP="00807127">
      <w:pPr>
        <w:ind w:firstLine="0"/>
        <w:rPr>
          <w:b/>
          <w:bCs/>
        </w:rPr>
      </w:pPr>
      <w:r w:rsidRPr="004E0189">
        <w:rPr>
          <w:b/>
          <w:bCs/>
        </w:rPr>
        <w:lastRenderedPageBreak/>
        <w:t>Intervention Components</w:t>
      </w:r>
    </w:p>
    <w:p w14:paraId="037A8DB6" w14:textId="1F82131A" w:rsidR="00027E47" w:rsidRDefault="005A50DA" w:rsidP="00807127">
      <w:pPr>
        <w:rPr>
          <w:b/>
          <w:bCs/>
        </w:rPr>
      </w:pPr>
      <w:r w:rsidRPr="00CD3837">
        <w:t xml:space="preserve">Most components were rated as </w:t>
      </w:r>
      <w:r w:rsidR="00CD3837" w:rsidRPr="00286C76">
        <w:rPr>
          <w:i/>
          <w:iCs/>
        </w:rPr>
        <w:t>somewhat important</w:t>
      </w:r>
      <w:r w:rsidR="00CD3837" w:rsidRPr="00CD3837">
        <w:t xml:space="preserve"> or </w:t>
      </w:r>
      <w:r w:rsidR="00CD3837" w:rsidRPr="00286C76">
        <w:rPr>
          <w:i/>
          <w:iCs/>
        </w:rPr>
        <w:t>very important</w:t>
      </w:r>
      <w:r w:rsidR="005A43A6" w:rsidRPr="00255347">
        <w:t>,</w:t>
      </w:r>
      <w:r w:rsidR="00CD3837" w:rsidRPr="00CD3837">
        <w:t xml:space="preserve"> on average</w:t>
      </w:r>
      <w:r w:rsidR="005D5DAB">
        <w:t>,</w:t>
      </w:r>
      <w:r w:rsidR="00CD3837" w:rsidRPr="00CD3837">
        <w:t xml:space="preserve"> suggesting that participants found all components reasonably important. </w:t>
      </w:r>
      <w:r w:rsidR="00CD3837">
        <w:t xml:space="preserve">The components considered most important </w:t>
      </w:r>
      <w:r w:rsidR="00641E6C">
        <w:t xml:space="preserve">are presented as follows </w:t>
      </w:r>
      <w:r w:rsidR="00C35C42">
        <w:t>in descending order</w:t>
      </w:r>
      <w:r w:rsidR="000A0E89">
        <w:t xml:space="preserve"> (</w:t>
      </w:r>
      <w:r w:rsidR="000A0E89" w:rsidRPr="00C43726">
        <w:rPr>
          <w:i/>
          <w:iCs/>
        </w:rPr>
        <w:t>M</w:t>
      </w:r>
      <w:r w:rsidR="000A0E89">
        <w:t xml:space="preserve">, </w:t>
      </w:r>
      <w:r w:rsidR="000A0E89" w:rsidRPr="00C43726">
        <w:rPr>
          <w:i/>
          <w:iCs/>
        </w:rPr>
        <w:t>SD</w:t>
      </w:r>
      <w:r w:rsidR="000A0E89">
        <w:t>)</w:t>
      </w:r>
      <w:r w:rsidR="00CD3837">
        <w:t>: guaranteed privacy and confidentiality (</w:t>
      </w:r>
      <w:r w:rsidR="00F82B01">
        <w:rPr>
          <w:i/>
          <w:iCs/>
        </w:rPr>
        <w:t>M</w:t>
      </w:r>
      <w:r w:rsidR="00F82B01" w:rsidRPr="00F82B01">
        <w:t xml:space="preserve"> = 4.41, </w:t>
      </w:r>
      <w:r w:rsidR="00641E6C" w:rsidRPr="00A27D44">
        <w:rPr>
          <w:i/>
          <w:iCs/>
        </w:rPr>
        <w:t>SD =</w:t>
      </w:r>
      <w:r w:rsidR="00641E6C">
        <w:t xml:space="preserve"> </w:t>
      </w:r>
      <w:r w:rsidR="00F82B01" w:rsidRPr="00F82B01">
        <w:t>.74</w:t>
      </w:r>
      <w:r w:rsidR="00CD3837">
        <w:t xml:space="preserve">), </w:t>
      </w:r>
      <w:r w:rsidR="000A0E89">
        <w:t>ph</w:t>
      </w:r>
      <w:r w:rsidR="00C35C42">
        <w:t>ysical self-defense, (</w:t>
      </w:r>
      <w:r w:rsidR="00641E6C" w:rsidRPr="00A27D44">
        <w:rPr>
          <w:i/>
          <w:iCs/>
        </w:rPr>
        <w:t>M</w:t>
      </w:r>
      <w:r w:rsidR="00641E6C">
        <w:t xml:space="preserve"> = </w:t>
      </w:r>
      <w:r w:rsidR="000A0E89">
        <w:t xml:space="preserve">4.30, </w:t>
      </w:r>
      <w:r w:rsidR="00641E6C" w:rsidRPr="00A27D44">
        <w:rPr>
          <w:i/>
          <w:iCs/>
        </w:rPr>
        <w:t>SD</w:t>
      </w:r>
      <w:r w:rsidR="00641E6C">
        <w:t xml:space="preserve"> = </w:t>
      </w:r>
      <w:r w:rsidR="000A0E89">
        <w:t>.84</w:t>
      </w:r>
      <w:r w:rsidR="00C35C42">
        <w:t xml:space="preserve">), </w:t>
      </w:r>
      <w:r w:rsidR="00CD3837">
        <w:t>evidence of effectiveness/research support (</w:t>
      </w:r>
      <w:r w:rsidR="00641E6C" w:rsidRPr="00A27D44">
        <w:rPr>
          <w:i/>
          <w:iCs/>
        </w:rPr>
        <w:t>M</w:t>
      </w:r>
      <w:r w:rsidR="00641E6C">
        <w:t xml:space="preserve"> = </w:t>
      </w:r>
      <w:r w:rsidR="000A0E89">
        <w:t xml:space="preserve">4.28, </w:t>
      </w:r>
      <w:r w:rsidR="00641E6C" w:rsidRPr="00A27D44">
        <w:rPr>
          <w:i/>
          <w:iCs/>
        </w:rPr>
        <w:t>SD</w:t>
      </w:r>
      <w:r w:rsidR="00641E6C">
        <w:t xml:space="preserve"> = </w:t>
      </w:r>
      <w:r w:rsidR="000A0E89">
        <w:t>.96</w:t>
      </w:r>
      <w:r w:rsidR="00CD3837">
        <w:t xml:space="preserve">), and </w:t>
      </w:r>
      <w:r w:rsidR="000A0E89">
        <w:t>understanding risky situations (</w:t>
      </w:r>
      <w:r w:rsidR="00641E6C" w:rsidRPr="00A27D44">
        <w:rPr>
          <w:i/>
          <w:iCs/>
        </w:rPr>
        <w:t>M</w:t>
      </w:r>
      <w:r w:rsidR="00641E6C">
        <w:t xml:space="preserve"> = </w:t>
      </w:r>
      <w:r w:rsidR="000A0E89">
        <w:t xml:space="preserve">4.28, </w:t>
      </w:r>
      <w:r w:rsidR="00641E6C" w:rsidRPr="00A27D44">
        <w:rPr>
          <w:i/>
          <w:iCs/>
        </w:rPr>
        <w:t>SD</w:t>
      </w:r>
      <w:r w:rsidR="00641E6C">
        <w:t xml:space="preserve"> = </w:t>
      </w:r>
      <w:r w:rsidR="000A0E89">
        <w:t>.</w:t>
      </w:r>
      <w:r w:rsidR="00F82B01">
        <w:t>81</w:t>
      </w:r>
      <w:r w:rsidR="000A0E89">
        <w:t>).</w:t>
      </w:r>
      <w:r w:rsidR="00CD3837">
        <w:t xml:space="preserve"> </w:t>
      </w:r>
      <w:r w:rsidRPr="005A50DA">
        <w:t>The component considered least important was information on the number of hook-ups, rated 3.7</w:t>
      </w:r>
      <w:r w:rsidR="00100A4E">
        <w:t>2</w:t>
      </w:r>
      <w:r w:rsidRPr="005A50DA">
        <w:t xml:space="preserve"> or on average, “neutral/unsure</w:t>
      </w:r>
      <w:r w:rsidR="005A43A6">
        <w:t>.</w:t>
      </w:r>
      <w:r w:rsidRPr="005A50DA">
        <w:t>”</w:t>
      </w:r>
      <w:r w:rsidR="00C35C42">
        <w:t xml:space="preserve"> The average rating for </w:t>
      </w:r>
      <w:r w:rsidR="005A43A6">
        <w:t xml:space="preserve">culturally </w:t>
      </w:r>
      <w:r w:rsidR="00E347EB">
        <w:t>adapted</w:t>
      </w:r>
      <w:r w:rsidR="005A43A6">
        <w:t xml:space="preserve"> </w:t>
      </w:r>
      <w:r w:rsidR="00623A84">
        <w:t>SVRRI</w:t>
      </w:r>
      <w:r w:rsidR="005A43A6">
        <w:t xml:space="preserve">s </w:t>
      </w:r>
      <w:r w:rsidR="00C35C42">
        <w:t xml:space="preserve">created for Indigenous </w:t>
      </w:r>
      <w:r w:rsidR="005A43A6">
        <w:t>P</w:t>
      </w:r>
      <w:r w:rsidR="00C35C42">
        <w:t>eople</w:t>
      </w:r>
      <w:r w:rsidR="005A43A6">
        <w:t>s</w:t>
      </w:r>
      <w:r w:rsidR="00C35C42">
        <w:t xml:space="preserve"> was (</w:t>
      </w:r>
      <w:r w:rsidR="00641E6C" w:rsidRPr="00A27D44">
        <w:rPr>
          <w:i/>
          <w:iCs/>
        </w:rPr>
        <w:t>M</w:t>
      </w:r>
      <w:r w:rsidR="00641E6C">
        <w:t xml:space="preserve"> = </w:t>
      </w:r>
      <w:r w:rsidR="000A0E89">
        <w:t>4.16,</w:t>
      </w:r>
      <w:r w:rsidR="000A0E89" w:rsidRPr="00A27D44">
        <w:rPr>
          <w:i/>
          <w:iCs/>
        </w:rPr>
        <w:t xml:space="preserve"> </w:t>
      </w:r>
      <w:r w:rsidR="00641E6C" w:rsidRPr="00A27D44">
        <w:rPr>
          <w:i/>
          <w:iCs/>
        </w:rPr>
        <w:t>SD</w:t>
      </w:r>
      <w:r w:rsidR="00641E6C">
        <w:t xml:space="preserve"> = </w:t>
      </w:r>
      <w:r w:rsidR="000A0E89">
        <w:t>.93</w:t>
      </w:r>
      <w:r w:rsidR="00C35C42">
        <w:t xml:space="preserve">), the </w:t>
      </w:r>
      <w:r w:rsidR="000A0E89">
        <w:t>seventh</w:t>
      </w:r>
      <w:r w:rsidR="00C35C42">
        <w:t xml:space="preserve"> most highly rated component.</w:t>
      </w:r>
      <w:r w:rsidR="004E0189">
        <w:t xml:space="preserve"> The overall mean for any component was 4.0</w:t>
      </w:r>
      <w:r w:rsidR="00100A4E">
        <w:t>9</w:t>
      </w:r>
      <w:r w:rsidR="004E0189">
        <w:t xml:space="preserve">; this was not significantly different than the rating for </w:t>
      </w:r>
      <w:r w:rsidR="005A43A6" w:rsidRPr="005A43A6">
        <w:t xml:space="preserve">culturally </w:t>
      </w:r>
      <w:r w:rsidR="00E347EB">
        <w:t>adapted</w:t>
      </w:r>
      <w:r w:rsidR="005A43A6" w:rsidRPr="005A43A6">
        <w:t xml:space="preserve"> </w:t>
      </w:r>
      <w:r w:rsidR="00623A84">
        <w:t>SVRRI</w:t>
      </w:r>
      <w:r w:rsidR="005A43A6" w:rsidRPr="005A43A6">
        <w:t>s created for Indigenous Peoples</w:t>
      </w:r>
      <w:r w:rsidR="00100A4E">
        <w:t xml:space="preserve">, </w:t>
      </w:r>
      <w:proofErr w:type="gramStart"/>
      <w:r w:rsidR="00100A4E" w:rsidRPr="00100A4E">
        <w:rPr>
          <w:i/>
          <w:iCs/>
        </w:rPr>
        <w:t>t</w:t>
      </w:r>
      <w:r w:rsidR="00100A4E" w:rsidRPr="00100A4E">
        <w:t>(</w:t>
      </w:r>
      <w:proofErr w:type="gramEnd"/>
      <w:r w:rsidR="00100A4E" w:rsidRPr="00100A4E">
        <w:t>395)</w:t>
      </w:r>
      <w:r w:rsidR="00100A4E">
        <w:t xml:space="preserve"> </w:t>
      </w:r>
      <w:r w:rsidR="00100A4E" w:rsidRPr="00100A4E">
        <w:t>=</w:t>
      </w:r>
      <w:r w:rsidR="00100A4E">
        <w:t xml:space="preserve"> </w:t>
      </w:r>
      <w:r w:rsidR="00100A4E" w:rsidRPr="00100A4E">
        <w:t xml:space="preserve">1.637, </w:t>
      </w:r>
      <w:r w:rsidR="00100A4E" w:rsidRPr="00100A4E">
        <w:rPr>
          <w:i/>
          <w:iCs/>
        </w:rPr>
        <w:t>p</w:t>
      </w:r>
      <w:r w:rsidR="00100A4E" w:rsidRPr="00100A4E">
        <w:t xml:space="preserve"> = .102, 95% CI: -.02, .17</w:t>
      </w:r>
      <w:r w:rsidR="005A43A6">
        <w:t>,</w:t>
      </w:r>
      <w:r w:rsidR="004E0189">
        <w:t xml:space="preserve"> but was significantly different from learning physical </w:t>
      </w:r>
      <w:r w:rsidR="00315A4B">
        <w:t>self</w:t>
      </w:r>
      <w:r w:rsidR="004E0189">
        <w:t xml:space="preserve">-defense, </w:t>
      </w:r>
      <w:r w:rsidR="00100A4E" w:rsidRPr="00C43726">
        <w:rPr>
          <w:i/>
          <w:iCs/>
        </w:rPr>
        <w:t>t</w:t>
      </w:r>
      <w:r w:rsidR="00100A4E" w:rsidRPr="00100A4E">
        <w:t>(399)</w:t>
      </w:r>
      <w:r w:rsidR="00100A4E">
        <w:t xml:space="preserve"> </w:t>
      </w:r>
      <w:r w:rsidR="00100A4E" w:rsidRPr="00100A4E">
        <w:t>=</w:t>
      </w:r>
      <w:r w:rsidR="00100A4E">
        <w:t xml:space="preserve"> </w:t>
      </w:r>
      <w:r w:rsidR="00100A4E" w:rsidRPr="00100A4E">
        <w:t xml:space="preserve">5.04, </w:t>
      </w:r>
      <w:r w:rsidR="00100A4E" w:rsidRPr="00100A4E">
        <w:rPr>
          <w:i/>
          <w:iCs/>
        </w:rPr>
        <w:t>p</w:t>
      </w:r>
      <w:r w:rsidR="00100A4E" w:rsidRPr="00100A4E">
        <w:t xml:space="preserve"> &lt; .001, CI: .13, .29, </w:t>
      </w:r>
      <w:r w:rsidR="00100A4E" w:rsidRPr="00C43726">
        <w:rPr>
          <w:i/>
          <w:iCs/>
        </w:rPr>
        <w:t>d</w:t>
      </w:r>
      <w:r w:rsidR="00100A4E" w:rsidRPr="00100A4E">
        <w:t xml:space="preserve"> = .25, CI: .15, .35</w:t>
      </w:r>
      <w:r w:rsidR="004E0189">
        <w:t>.</w:t>
      </w:r>
    </w:p>
    <w:p w14:paraId="2DBAF742" w14:textId="4420CCC9" w:rsidR="00027E47" w:rsidRPr="00027E47" w:rsidRDefault="00CD3837" w:rsidP="000A0E89">
      <w:r>
        <w:t>There were demographic differences in how important components were considered</w:t>
      </w:r>
      <w:r w:rsidR="005A43A6">
        <w:t xml:space="preserve"> (</w:t>
      </w:r>
      <w:r w:rsidR="00315A4B">
        <w:t>Table 3</w:t>
      </w:r>
      <w:r w:rsidR="005A43A6">
        <w:t>)</w:t>
      </w:r>
      <w:r>
        <w:t>. Women tended to rate some components more highly, though there were few differences in interpretation; that is, all genders still considered the component</w:t>
      </w:r>
      <w:r w:rsidR="005A43A6">
        <w:t>s</w:t>
      </w:r>
      <w:r>
        <w:t xml:space="preserve"> important just to </w:t>
      </w:r>
      <w:r w:rsidR="005A43A6">
        <w:t xml:space="preserve">varying </w:t>
      </w:r>
      <w:r>
        <w:t>degrees</w:t>
      </w:r>
      <w:r w:rsidR="00315A4B">
        <w:t xml:space="preserve">, Cohen’s </w:t>
      </w:r>
      <w:r w:rsidR="00315A4B" w:rsidRPr="00315A4B">
        <w:rPr>
          <w:i/>
          <w:iCs/>
        </w:rPr>
        <w:t>d</w:t>
      </w:r>
      <w:r w:rsidR="00315A4B">
        <w:t xml:space="preserve"> = </w:t>
      </w:r>
      <w:r>
        <w:t>.</w:t>
      </w:r>
      <w:r w:rsidR="005805C2">
        <w:t xml:space="preserve">25 – </w:t>
      </w:r>
      <w:r w:rsidR="00315A4B">
        <w:t>.5</w:t>
      </w:r>
      <w:r w:rsidR="005805C2">
        <w:t>8</w:t>
      </w:r>
      <w:r>
        <w:t xml:space="preserve"> Similarly, those with victimization histories rated some items more highly, </w:t>
      </w:r>
      <w:r w:rsidR="00FD5E5F">
        <w:t>such as online format, individual counseling, guaranteed privacy and confidentiality, alcohol content, and research support</w:t>
      </w:r>
      <w:r w:rsidR="005A43A6">
        <w:t>,</w:t>
      </w:r>
      <w:r w:rsidR="00315A4B">
        <w:t xml:space="preserve"> Cohen’s </w:t>
      </w:r>
      <w:r w:rsidR="00315A4B" w:rsidRPr="00315A4B">
        <w:rPr>
          <w:i/>
          <w:iCs/>
        </w:rPr>
        <w:t>d</w:t>
      </w:r>
      <w:r w:rsidR="00315A4B">
        <w:t xml:space="preserve"> = .</w:t>
      </w:r>
      <w:r w:rsidR="00016F42">
        <w:t xml:space="preserve">29 </w:t>
      </w:r>
      <w:r w:rsidR="00315A4B">
        <w:t xml:space="preserve">– </w:t>
      </w:r>
      <w:r w:rsidR="00016F42">
        <w:t>.70</w:t>
      </w:r>
      <w:r w:rsidR="00315A4B">
        <w:t>.</w:t>
      </w:r>
      <w:r>
        <w:t xml:space="preserve"> </w:t>
      </w:r>
    </w:p>
    <w:p w14:paraId="1FD5CC91" w14:textId="00DBD36F" w:rsidR="0070178C" w:rsidRPr="00807127" w:rsidRDefault="00DF2F66" w:rsidP="00807127">
      <w:pPr>
        <w:ind w:firstLine="0"/>
        <w:jc w:val="center"/>
        <w:rPr>
          <w:b/>
          <w:bCs/>
        </w:rPr>
      </w:pPr>
      <w:r>
        <w:rPr>
          <w:b/>
          <w:bCs/>
        </w:rPr>
        <w:t>Discussion</w:t>
      </w:r>
    </w:p>
    <w:p w14:paraId="4901395C" w14:textId="74E7CE80" w:rsidR="007B6A7C" w:rsidRDefault="007B6A7C" w:rsidP="0070178C">
      <w:pPr>
        <w:ind w:firstLine="0"/>
      </w:pPr>
      <w:r>
        <w:tab/>
      </w:r>
      <w:r w:rsidR="000A76BA">
        <w:t>While</w:t>
      </w:r>
      <w:r>
        <w:t xml:space="preserve"> Indigenous individuals are among the racial</w:t>
      </w:r>
      <w:r w:rsidR="000A76BA">
        <w:t>/ethnic</w:t>
      </w:r>
      <w:r>
        <w:t xml:space="preserve"> groups most likely to experience rape</w:t>
      </w:r>
      <w:r w:rsidR="00551FD2">
        <w:t xml:space="preserve"> (Rosay, 2016)</w:t>
      </w:r>
      <w:r>
        <w:t xml:space="preserve">, very little research has examined the acceptability of existing </w:t>
      </w:r>
      <w:r w:rsidR="00623A84">
        <w:t>SVRRI</w:t>
      </w:r>
      <w:r>
        <w:t xml:space="preserve">s </w:t>
      </w:r>
      <w:r w:rsidR="001C3B76">
        <w:t xml:space="preserve">using standardized methods at all, much less </w:t>
      </w:r>
      <w:r>
        <w:t>for Indigenous Peoples</w:t>
      </w:r>
      <w:r w:rsidR="00CB6BEB">
        <w:t xml:space="preserve"> specifically</w:t>
      </w:r>
      <w:r>
        <w:t xml:space="preserve">. This </w:t>
      </w:r>
      <w:r>
        <w:lastRenderedPageBreak/>
        <w:t xml:space="preserve">study sought to explore </w:t>
      </w:r>
      <w:r w:rsidR="00807127">
        <w:t>acceptability</w:t>
      </w:r>
      <w:r>
        <w:t xml:space="preserve"> of </w:t>
      </w:r>
      <w:r w:rsidR="00623A84">
        <w:t>SVRRI</w:t>
      </w:r>
      <w:r>
        <w:t xml:space="preserve">s </w:t>
      </w:r>
      <w:r w:rsidR="000A76BA">
        <w:t xml:space="preserve">with </w:t>
      </w:r>
      <w:r>
        <w:t xml:space="preserve">Indigenous </w:t>
      </w:r>
      <w:r w:rsidR="00807127">
        <w:t>college students,</w:t>
      </w:r>
      <w:r>
        <w:t xml:space="preserve"> a </w:t>
      </w:r>
      <w:r w:rsidR="00A27D44">
        <w:t>highly vulnerable group</w:t>
      </w:r>
      <w:r>
        <w:t>. Using a large national survey</w:t>
      </w:r>
      <w:r w:rsidR="00551FD2">
        <w:t>,</w:t>
      </w:r>
      <w:r>
        <w:t xml:space="preserve"> we found Indigenous college students are willing to engage in </w:t>
      </w:r>
      <w:r w:rsidR="004D0502">
        <w:t>many strategies</w:t>
      </w:r>
      <w:r>
        <w:t xml:space="preserve"> to reduce sexual violence for themselves and their communities.</w:t>
      </w:r>
    </w:p>
    <w:p w14:paraId="0FF29C54" w14:textId="41B61637" w:rsidR="007B6A7C" w:rsidRDefault="007B6A7C" w:rsidP="0070178C">
      <w:pPr>
        <w:ind w:firstLine="0"/>
      </w:pPr>
      <w:r>
        <w:tab/>
      </w:r>
      <w:r w:rsidR="00DA1F25">
        <w:t xml:space="preserve">We examined acceptability in several ways to capture the complexity </w:t>
      </w:r>
      <w:r w:rsidR="008D3478">
        <w:t>in</w:t>
      </w:r>
      <w:r w:rsidR="00DA1F25">
        <w:t xml:space="preserve"> </w:t>
      </w:r>
      <w:r w:rsidR="00807127">
        <w:t xml:space="preserve">personal </w:t>
      </w:r>
      <w:r w:rsidR="00DF57B2">
        <w:t>decision-making</w:t>
      </w:r>
      <w:r w:rsidR="00DA1F25">
        <w:t xml:space="preserve">. </w:t>
      </w:r>
      <w:bookmarkStart w:id="9" w:name="_Hlk160199257"/>
      <w:r w:rsidR="00CB6BEB">
        <w:t xml:space="preserve">For example, an intervention may be acceptable, but because of personal contextual factors like, lack of childcare or, a desire for private, confidential counseling, and the same person might say they are unwilling to participate in that same intervention or rank it lower. </w:t>
      </w:r>
      <w:bookmarkEnd w:id="9"/>
      <w:r w:rsidR="001E4939">
        <w:t>Considering this complexity</w:t>
      </w:r>
      <w:r w:rsidR="000A76BA">
        <w:t>,</w:t>
      </w:r>
      <w:r w:rsidR="00DA1F25">
        <w:t xml:space="preserve"> t</w:t>
      </w:r>
      <w:r>
        <w:t>he percentage of the sample that rated each intervention acceptable was high for every single intervention examined in this study</w:t>
      </w:r>
      <w:r w:rsidR="001E4939">
        <w:t xml:space="preserve"> using a standardized methodology to facilitate cross-intervention comparison</w:t>
      </w:r>
      <w:r w:rsidR="00DA1F25">
        <w:t>.</w:t>
      </w:r>
      <w:r>
        <w:t xml:space="preserve"> </w:t>
      </w:r>
      <w:r w:rsidR="00DA1F25">
        <w:t>A</w:t>
      </w:r>
      <w:r>
        <w:t xml:space="preserve">t the lowest end, 71.4% </w:t>
      </w:r>
      <w:r w:rsidR="00DA1F25">
        <w:t xml:space="preserve">of the sample found </w:t>
      </w:r>
      <w:r>
        <w:t>a brief drinking intervention</w:t>
      </w:r>
      <w:r w:rsidR="00F45D9C">
        <w:t xml:space="preserve"> (BDI)</w:t>
      </w:r>
      <w:r w:rsidR="00DA1F25">
        <w:t xml:space="preserve"> acceptable</w:t>
      </w:r>
      <w:r>
        <w:t xml:space="preserve"> and at the highest </w:t>
      </w:r>
      <w:r w:rsidR="00807127">
        <w:t>end</w:t>
      </w:r>
      <w:r>
        <w:t>, 95.3% fo</w:t>
      </w:r>
      <w:r w:rsidR="00DA1F25">
        <w:t xml:space="preserve">und </w:t>
      </w:r>
      <w:r w:rsidR="00F45D9C">
        <w:t>Flip the Script</w:t>
      </w:r>
      <w:r w:rsidR="004731A2">
        <w:t xml:space="preserve"> with EAAA</w:t>
      </w:r>
      <w:r w:rsidR="00F45D9C">
        <w:t xml:space="preserve"> (</w:t>
      </w:r>
      <w:r w:rsidR="00DF57B2">
        <w:t>FTS</w:t>
      </w:r>
      <w:r w:rsidR="00F45D9C">
        <w:t>)</w:t>
      </w:r>
      <w:r w:rsidR="00A27D44">
        <w:t xml:space="preserve"> </w:t>
      </w:r>
      <w:r w:rsidR="00DA1F25">
        <w:t>acceptable</w:t>
      </w:r>
      <w:r w:rsidR="001C3B76">
        <w:t xml:space="preserve"> (consistent with H1)</w:t>
      </w:r>
      <w:r>
        <w:t xml:space="preserve">. </w:t>
      </w:r>
      <w:r w:rsidR="00DA1F25">
        <w:t>Given the very high rates of sexual victimization in this sample</w:t>
      </w:r>
      <w:r w:rsidR="000A76BA">
        <w:t xml:space="preserve"> </w:t>
      </w:r>
      <w:r w:rsidR="00F45D9C">
        <w:t>-</w:t>
      </w:r>
      <w:r w:rsidR="000A76BA">
        <w:t xml:space="preserve"> </w:t>
      </w:r>
      <w:r w:rsidR="00DA1F25">
        <w:t>80.8% of the sample report</w:t>
      </w:r>
      <w:r w:rsidR="000A76BA">
        <w:t>ed</w:t>
      </w:r>
      <w:r w:rsidR="00DA1F25">
        <w:t xml:space="preserve"> a lifetime history</w:t>
      </w:r>
      <w:r w:rsidR="000A76BA">
        <w:t xml:space="preserve"> of sexual violence</w:t>
      </w:r>
      <w:r w:rsidR="00F45D9C">
        <w:t xml:space="preserve"> -</w:t>
      </w:r>
      <w:r w:rsidR="00341BCA">
        <w:t xml:space="preserve"> </w:t>
      </w:r>
      <w:r w:rsidR="00F45D9C">
        <w:t xml:space="preserve">it seems </w:t>
      </w:r>
      <w:r w:rsidR="00DA1F25">
        <w:t xml:space="preserve">Indigenous college students </w:t>
      </w:r>
      <w:r w:rsidR="00341BCA">
        <w:t xml:space="preserve">view </w:t>
      </w:r>
      <w:r w:rsidR="00DA1F25">
        <w:t>sexual violence as a very personally</w:t>
      </w:r>
      <w:r w:rsidR="001E4939">
        <w:t xml:space="preserve"> and </w:t>
      </w:r>
      <w:r w:rsidR="00341BCA">
        <w:t>community</w:t>
      </w:r>
      <w:r w:rsidR="00DA1F25">
        <w:t xml:space="preserve"> relevant problem they want to solve</w:t>
      </w:r>
      <w:r w:rsidR="000A76BA">
        <w:t>,</w:t>
      </w:r>
      <w:r w:rsidR="00807127">
        <w:t xml:space="preserve"> and they are willing to try many different </w:t>
      </w:r>
      <w:r w:rsidR="00341BCA">
        <w:t xml:space="preserve">strategies </w:t>
      </w:r>
      <w:r w:rsidR="00807127">
        <w:t>to solve it</w:t>
      </w:r>
      <w:r w:rsidR="00DA1F25">
        <w:t>.</w:t>
      </w:r>
    </w:p>
    <w:p w14:paraId="374BF5E5" w14:textId="6FCBC21C" w:rsidR="003A2E34" w:rsidRDefault="00DA1F25" w:rsidP="0070178C">
      <w:pPr>
        <w:ind w:firstLine="0"/>
      </w:pPr>
      <w:r>
        <w:tab/>
        <w:t xml:space="preserve">We did find some preference for particular interventions and approaches. </w:t>
      </w:r>
      <w:r w:rsidR="00807127">
        <w:t>A combined sexual violence and substance use intervention (SAARR</w:t>
      </w:r>
      <w:r w:rsidR="00551FD2">
        <w:t>: Gilmore et al., 2015</w:t>
      </w:r>
      <w:r w:rsidR="00807127">
        <w:t>)</w:t>
      </w:r>
      <w:r>
        <w:t xml:space="preserve"> was </w:t>
      </w:r>
      <w:r w:rsidR="00DF57B2">
        <w:t xml:space="preserve">the intervention </w:t>
      </w:r>
      <w:r>
        <w:t xml:space="preserve">most frequently ranked </w:t>
      </w:r>
      <w:r w:rsidR="00341BCA">
        <w:t xml:space="preserve">as </w:t>
      </w:r>
      <w:r w:rsidR="00DF57B2">
        <w:t>first choice.</w:t>
      </w:r>
      <w:r>
        <w:t xml:space="preserve"> This was also the intervention that the largest number of people said they were most willing to try, and the </w:t>
      </w:r>
      <w:r w:rsidR="00807127">
        <w:t>smallest</w:t>
      </w:r>
      <w:r>
        <w:t xml:space="preserve"> number said they were least willing to try. </w:t>
      </w:r>
      <w:r w:rsidR="00F45D9C">
        <w:t>We also found sexual victimization history effects for SAARR – it was the intervention individuals with a victimization history were more willing to try compared to those without this history.</w:t>
      </w:r>
      <w:r w:rsidR="001E4939">
        <w:t xml:space="preserve"> Notably, SAARR is also the briefest intervention in terms of time </w:t>
      </w:r>
      <w:r w:rsidR="001E4939">
        <w:lastRenderedPageBreak/>
        <w:t>commitment which may be a primary factor in driving these preferences.</w:t>
      </w:r>
      <w:r w:rsidR="00F45D9C">
        <w:t xml:space="preserve"> </w:t>
      </w:r>
      <w:r w:rsidR="00DF57B2">
        <w:t>BITB</w:t>
      </w:r>
      <w:r w:rsidR="00807127">
        <w:t xml:space="preserve"> </w:t>
      </w:r>
      <w:r>
        <w:t xml:space="preserve">was least preferred considering </w:t>
      </w:r>
      <w:r w:rsidR="00AE4A92">
        <w:t xml:space="preserve">overall </w:t>
      </w:r>
      <w:r>
        <w:t>willingness and unwillingness</w:t>
      </w:r>
      <w:r w:rsidR="00AE4A92">
        <w:t xml:space="preserve"> and individuals with a victimization history’s willingness, </w:t>
      </w:r>
      <w:r>
        <w:t xml:space="preserve">though again, this is in the context of overall </w:t>
      </w:r>
      <w:r w:rsidR="00CC4CD7">
        <w:t>good</w:t>
      </w:r>
      <w:r>
        <w:t xml:space="preserve"> acceptability ratings. </w:t>
      </w:r>
      <w:r w:rsidR="00AE4A92">
        <w:t>Those with a victimization history rated the BDI more highly. It may be that those with a victimization history prefer interventions that focus more on self-related needs and action.</w:t>
      </w:r>
    </w:p>
    <w:p w14:paraId="77F37F89" w14:textId="393DFFC6" w:rsidR="00961467" w:rsidRDefault="00961467" w:rsidP="0070178C">
      <w:pPr>
        <w:ind w:firstLine="0"/>
      </w:pPr>
      <w:r>
        <w:tab/>
      </w:r>
      <w:r w:rsidR="00AE4A92">
        <w:t xml:space="preserve">Focusing on FTS, men were less likely to find FTS acceptable both in overall scores and willingness compared to women and Two-Spirit individuals. Notably, those without a victimization history were more willing to try FTS than those with such history. </w:t>
      </w:r>
      <w:r w:rsidR="00CC4CD7">
        <w:t xml:space="preserve">Yet, when examining components, women and people with victimization histories valued learning self-defense skills and research support even more than men and those without victimization histories. Individuals with victimization histories additionally indicated preference for online interventions, expert providers, guaranteed privacy and confidentiality, and understanding risks; these effect sizes were of small to moderate size. </w:t>
      </w:r>
      <w:r w:rsidR="00AE4A92">
        <w:t>It may be that the group, public, or longer time commitment of FTS tempers commitment to actually completing FTS</w:t>
      </w:r>
      <w:r w:rsidR="00CC4CD7">
        <w:t xml:space="preserve"> for some</w:t>
      </w:r>
      <w:r w:rsidR="00AE4A92">
        <w:t xml:space="preserve">. </w:t>
      </w:r>
      <w:r>
        <w:t>We asked participants whether they would recommend Flip the Script to a friend as a</w:t>
      </w:r>
      <w:r w:rsidR="00DF57B2">
        <w:t>n indicator</w:t>
      </w:r>
      <w:r>
        <w:t xml:space="preserve"> </w:t>
      </w:r>
      <w:r w:rsidR="00DF57B2">
        <w:t>of</w:t>
      </w:r>
      <w:r>
        <w:t xml:space="preserve"> perceived community acceptability. The vast majority of participants indicated they would recommend </w:t>
      </w:r>
      <w:r w:rsidR="00DF57B2">
        <w:t>FTS</w:t>
      </w:r>
      <w:r>
        <w:t xml:space="preserve"> to a friend</w:t>
      </w:r>
      <w:r w:rsidR="00F45D9C">
        <w:t xml:space="preserve"> (73.3%)</w:t>
      </w:r>
      <w:r>
        <w:t>, including</w:t>
      </w:r>
      <w:r w:rsidR="00F45D9C">
        <w:t xml:space="preserve"> recommending to an</w:t>
      </w:r>
      <w:r w:rsidR="00782D1D">
        <w:t xml:space="preserve"> Indigenous survivor of sexual violence</w:t>
      </w:r>
      <w:r w:rsidR="00F45D9C">
        <w:t xml:space="preserve"> (69.3%)</w:t>
      </w:r>
      <w:r>
        <w:t xml:space="preserve">. </w:t>
      </w:r>
      <w:r w:rsidR="00B724CB">
        <w:t>Interestingly, individuals with a history of sexual victimization were more likely to recommend Flip the Script to a friend</w:t>
      </w:r>
      <w:r w:rsidR="00AE4A92">
        <w:t xml:space="preserve">. </w:t>
      </w:r>
      <w:r>
        <w:t>Cisgender women and men generally exhibited preference for gender congruent providers</w:t>
      </w:r>
      <w:r w:rsidR="00782D1D">
        <w:t>,</w:t>
      </w:r>
      <w:r>
        <w:t xml:space="preserve"> though many participants were open to non-congruent providers.</w:t>
      </w:r>
      <w:r w:rsidR="009E6310">
        <w:t xml:space="preserve"> Gender congruence was a stronger preference for individuals with victimization histories.</w:t>
      </w:r>
      <w:r w:rsidR="00B724CB">
        <w:t xml:space="preserve"> Finally, considering where </w:t>
      </w:r>
      <w:r w:rsidR="00AE4A92">
        <w:t>FTS</w:t>
      </w:r>
      <w:r w:rsidR="00B724CB">
        <w:t xml:space="preserve"> should take place</w:t>
      </w:r>
      <w:r w:rsidR="00782D1D">
        <w:t>,</w:t>
      </w:r>
      <w:r w:rsidR="00B724CB">
        <w:t xml:space="preserve"> there was a moderate </w:t>
      </w:r>
      <w:r w:rsidR="00B724CB">
        <w:lastRenderedPageBreak/>
        <w:t>preference for at</w:t>
      </w:r>
      <w:r w:rsidR="00782D1D">
        <w:t xml:space="preserve"> a</w:t>
      </w:r>
      <w:r w:rsidR="00B724CB">
        <w:t xml:space="preserve"> college/university</w:t>
      </w:r>
      <w:r w:rsidR="009E6310">
        <w:t xml:space="preserve"> (75.8%)</w:t>
      </w:r>
      <w:r w:rsidR="00B724CB">
        <w:t>. Nearly half the sample also preferred</w:t>
      </w:r>
      <w:r w:rsidR="00DF57B2">
        <w:t xml:space="preserve"> FTS</w:t>
      </w:r>
      <w:r w:rsidR="00B724CB">
        <w:t xml:space="preserve"> being offered on tribal lands/in their community</w:t>
      </w:r>
      <w:r w:rsidR="009E6310">
        <w:t xml:space="preserve"> (63.1%).</w:t>
      </w:r>
    </w:p>
    <w:p w14:paraId="0942AF58" w14:textId="12D0C922" w:rsidR="00CC4CD7" w:rsidRDefault="00CC4CD7" w:rsidP="00CC4CD7">
      <w:r>
        <w:t xml:space="preserve">Considering TCU attendance as a proxy of enculturation, we found that </w:t>
      </w:r>
      <w:r w:rsidR="005A0C5E">
        <w:t>TCU attendance</w:t>
      </w:r>
      <w:r>
        <w:t xml:space="preserve"> and time on the reservation </w:t>
      </w:r>
      <w:r w:rsidR="005A0C5E">
        <w:t>related to</w:t>
      </w:r>
      <w:r>
        <w:t xml:space="preserve"> higher acceptability scores for FTS and</w:t>
      </w:r>
      <w:r w:rsidR="005A0C5E">
        <w:t xml:space="preserve"> BDI ranking</w:t>
      </w:r>
      <w:r>
        <w:t xml:space="preserve">, suggesting that FTS and BDI may hold more promise with highly enculturated Indigenous individuals. </w:t>
      </w:r>
      <w:r w:rsidR="005A0C5E">
        <w:t>Time spent on reservation, another proxy of enculturation, was also predictive of FTS acceptability scores. Yet,</w:t>
      </w:r>
      <w:r>
        <w:t xml:space="preserve"> Indigenous students who attended TCUs were more unwilling to try BITB, FTS, and SAARR reflecting the complexity of acceptability; it may be that if these interventions were offered by an Indigenous provider TCU students would be more willing. </w:t>
      </w:r>
    </w:p>
    <w:p w14:paraId="794A6047" w14:textId="701037EA" w:rsidR="00F45D9C" w:rsidRDefault="00F45D9C" w:rsidP="00F45D9C">
      <w:r>
        <w:t xml:space="preserve">Findings considering specific intervention components mirrored findings specific to particular SVRRIs. As rated by the overall sample, the most important intervention components in descending order </w:t>
      </w:r>
      <w:proofErr w:type="gramStart"/>
      <w:r>
        <w:t>were:</w:t>
      </w:r>
      <w:proofErr w:type="gramEnd"/>
      <w:r>
        <w:t xml:space="preserve"> guaranteed privacy and confidentiality, learning physical self-defense skills, research support for effectiveness, </w:t>
      </w:r>
      <w:r w:rsidR="009E6310">
        <w:t>and understanding risky situations</w:t>
      </w:r>
      <w:r>
        <w:t xml:space="preserve">. </w:t>
      </w:r>
      <w:r w:rsidR="00CC4CD7">
        <w:t xml:space="preserve">There were many gender differences in the perceived importance of various components, and </w:t>
      </w:r>
      <w:r>
        <w:t>we wish to emphasize the relatively small size of these gender differences</w:t>
      </w:r>
      <w:r w:rsidR="00CC4CD7">
        <w:t xml:space="preserve">; </w:t>
      </w:r>
      <w:r>
        <w:t xml:space="preserve">suggesting Indigenous men see the value of SVRRI, in contrast to findings with non-Hispanic White college men </w:t>
      </w:r>
      <w:r w:rsidRPr="00C35C42">
        <w:rPr>
          <w:rFonts w:ascii="Times New Roman" w:hAnsi="Times New Roman" w:cs="Times New Roman"/>
        </w:rPr>
        <w:t xml:space="preserve">(Spikes &amp; </w:t>
      </w:r>
      <w:proofErr w:type="spellStart"/>
      <w:r w:rsidRPr="00C35C42">
        <w:rPr>
          <w:rFonts w:ascii="Times New Roman" w:hAnsi="Times New Roman" w:cs="Times New Roman"/>
        </w:rPr>
        <w:t>Sternadori</w:t>
      </w:r>
      <w:proofErr w:type="spellEnd"/>
      <w:r w:rsidRPr="00C35C42">
        <w:rPr>
          <w:rFonts w:ascii="Times New Roman" w:hAnsi="Times New Roman" w:cs="Times New Roman"/>
        </w:rPr>
        <w:t>, 2018)</w:t>
      </w:r>
      <w:r>
        <w:t xml:space="preserve">. </w:t>
      </w:r>
      <w:r w:rsidR="00CC4CD7">
        <w:t xml:space="preserve">We were somewhat surprised that prior experience with self-defense did not predict acceptability scores which was inconsistent with H2; this perhaps reflects a ceiling effect. </w:t>
      </w:r>
      <w:r>
        <w:t>Our</w:t>
      </w:r>
      <w:r w:rsidR="001C3B76">
        <w:t xml:space="preserve"> hypotheses (H3)</w:t>
      </w:r>
      <w:r>
        <w:t xml:space="preserve"> regarding the importance of self-defense and Indigenous-specific cultural content were partially supported. </w:t>
      </w:r>
      <w:r w:rsidR="009E6310">
        <w:t>Self-defense was</w:t>
      </w:r>
      <w:r>
        <w:t xml:space="preserve"> rated more highly than average, but Indigenous cultural content was not</w:t>
      </w:r>
      <w:r w:rsidR="00341BCA">
        <w:t>, suggesting non-culturally adapted SVRRIs are likely still acceptable among Indigenous Peoples</w:t>
      </w:r>
      <w:r w:rsidR="009E6310">
        <w:t>.</w:t>
      </w:r>
    </w:p>
    <w:p w14:paraId="5CEF9B9F" w14:textId="77777777" w:rsidR="000310F0" w:rsidRPr="00807127" w:rsidRDefault="000310F0" w:rsidP="000310F0">
      <w:pPr>
        <w:ind w:firstLine="0"/>
        <w:rPr>
          <w:b/>
          <w:bCs/>
        </w:rPr>
      </w:pPr>
      <w:r>
        <w:rPr>
          <w:b/>
          <w:bCs/>
        </w:rPr>
        <w:t>Limitations</w:t>
      </w:r>
    </w:p>
    <w:p w14:paraId="6F31FF25" w14:textId="1F7BDE3F" w:rsidR="000310F0" w:rsidRDefault="000310F0" w:rsidP="000310F0">
      <w:r>
        <w:lastRenderedPageBreak/>
        <w:t xml:space="preserve">Given the great diversity of Indigenous Peoples, we were unable to examine how holding multiple tribal identities, specific tribal or group memberships, or multi-racial identity was related to acceptability of particular interventions or components. </w:t>
      </w:r>
      <w:bookmarkStart w:id="10" w:name="_Hlk160197974"/>
      <w:r w:rsidR="000E4FCC">
        <w:t xml:space="preserve">Relatedly, a measure of cultural identity was not </w:t>
      </w:r>
      <w:r w:rsidR="00037DA1">
        <w:t>included</w:t>
      </w:r>
      <w:r w:rsidR="000E4FCC">
        <w:t xml:space="preserve"> within the study’s measures</w:t>
      </w:r>
      <w:bookmarkEnd w:id="10"/>
      <w:r w:rsidR="000E4FCC">
        <w:t>.</w:t>
      </w:r>
      <w:r w:rsidR="001E4939">
        <w:t xml:space="preserve"> This is an important consideration for future research to better understand how interventions may or may not need to be culturally adapted.</w:t>
      </w:r>
      <w:r w:rsidR="000E4FCC">
        <w:t xml:space="preserve"> </w:t>
      </w:r>
      <w:r>
        <w:t xml:space="preserve">Another limitation is that the study was advertised as “Self Defense for Indigenous Peoples” which may have created a self-selection bias for FTS and self-defense components, as well as participation in this study more generally. </w:t>
      </w:r>
      <w:r w:rsidR="00CE6959">
        <w:t xml:space="preserve">Related to this, some of the numbers describing the efficacy of FTS were </w:t>
      </w:r>
      <w:proofErr w:type="gramStart"/>
      <w:r w:rsidR="00CE6959">
        <w:t>under-estimates</w:t>
      </w:r>
      <w:proofErr w:type="gramEnd"/>
      <w:r w:rsidR="00CE6959">
        <w:t xml:space="preserve"> which could have tempered FTS acceptability. Length of intervention may be confounded with </w:t>
      </w:r>
      <w:r w:rsidR="003E77A9">
        <w:t>intervention</w:t>
      </w:r>
      <w:r w:rsidR="001E4939">
        <w:t xml:space="preserve">. </w:t>
      </w:r>
    </w:p>
    <w:p w14:paraId="74A6AC59" w14:textId="64AA69B1" w:rsidR="000310F0" w:rsidRDefault="000310F0" w:rsidP="0070178C">
      <w:pPr>
        <w:ind w:firstLine="0"/>
        <w:rPr>
          <w:b/>
          <w:bCs/>
        </w:rPr>
      </w:pPr>
      <w:r>
        <w:rPr>
          <w:b/>
          <w:bCs/>
        </w:rPr>
        <w:t xml:space="preserve">Future Research Directions </w:t>
      </w:r>
    </w:p>
    <w:p w14:paraId="02998F34" w14:textId="6825201C" w:rsidR="000310F0" w:rsidRPr="0035688E" w:rsidRDefault="00E20208" w:rsidP="000310F0">
      <w:r>
        <w:t>Considering</w:t>
      </w:r>
      <w:r w:rsidR="0077197F">
        <w:t xml:space="preserve"> the present findings, this study identifies promising avenues for prospective research. First, </w:t>
      </w:r>
      <w:r>
        <w:t>given</w:t>
      </w:r>
      <w:r w:rsidR="000310F0">
        <w:t xml:space="preserve"> the high rate of victimization in the sample, we recommend future research investigate the integration of mental health intervention components and screening to promote recovery and access to care simultaneously with prevention.</w:t>
      </w:r>
      <w:r w:rsidR="000E4FCC">
        <w:t xml:space="preserve"> </w:t>
      </w:r>
      <w:r>
        <w:t>Second, future</w:t>
      </w:r>
      <w:r w:rsidRPr="00E20208">
        <w:t xml:space="preserve"> </w:t>
      </w:r>
      <w:r>
        <w:t>investigations</w:t>
      </w:r>
      <w:r w:rsidRPr="00E20208">
        <w:t xml:space="preserve"> </w:t>
      </w:r>
      <w:r>
        <w:t>may</w:t>
      </w:r>
      <w:r w:rsidRPr="00E20208">
        <w:t xml:space="preserve"> incorporate </w:t>
      </w:r>
      <w:r>
        <w:t xml:space="preserve">an </w:t>
      </w:r>
      <w:r w:rsidRPr="00E20208">
        <w:t>assessment of cultural identity</w:t>
      </w:r>
      <w:r w:rsidR="001E4939">
        <w:t>, values, and practices</w:t>
      </w:r>
      <w:r w:rsidRPr="00E20208">
        <w:t xml:space="preserve"> to </w:t>
      </w:r>
      <w:r w:rsidR="001E4939">
        <w:t>provide insight for how specific interventions may need to be culturally adapted and in relation to specific values or practices</w:t>
      </w:r>
      <w:r w:rsidRPr="00E20208">
        <w:t>.</w:t>
      </w:r>
      <w:r w:rsidR="00D928E6">
        <w:t xml:space="preserve"> For example, there may be some cultural values that are salient to SVRRI across Indigenous cultures like resistance to colonization whereas others, like gender roles, may be </w:t>
      </w:r>
      <w:r w:rsidR="00D928E6" w:rsidRPr="00317E7C">
        <w:t xml:space="preserve">highly variable. </w:t>
      </w:r>
      <w:bookmarkStart w:id="11" w:name="_Hlk160200315"/>
      <w:proofErr w:type="gramStart"/>
      <w:r w:rsidR="00D928E6" w:rsidRPr="00317E7C">
        <w:rPr>
          <w:rFonts w:ascii="Times New Roman" w:hAnsi="Times New Roman" w:cs="Times New Roman"/>
        </w:rPr>
        <w:t>Culturally-adapted</w:t>
      </w:r>
      <w:proofErr w:type="gramEnd"/>
      <w:r w:rsidR="00D928E6" w:rsidRPr="00317E7C">
        <w:rPr>
          <w:rFonts w:ascii="Times New Roman" w:hAnsi="Times New Roman" w:cs="Times New Roman"/>
        </w:rPr>
        <w:t xml:space="preserve"> treatments for mental health (e.g., CBT) generally outperform standard treatments with minoritized groups in efficacy (Marsh et al., 2016).; however uptake (willingness to participate) is also an important consideration that should be examined.</w:t>
      </w:r>
      <w:r w:rsidR="000310F0" w:rsidRPr="00317E7C">
        <w:rPr>
          <w:sz w:val="36"/>
          <w:szCs w:val="36"/>
        </w:rPr>
        <w:t xml:space="preserve"> </w:t>
      </w:r>
      <w:bookmarkEnd w:id="11"/>
      <w:r w:rsidR="000310F0">
        <w:t>Additionally</w:t>
      </w:r>
      <w:r w:rsidR="0077197F">
        <w:t xml:space="preserve">, </w:t>
      </w:r>
      <w:r w:rsidR="000310F0">
        <w:t>while our results indicated small gender differences</w:t>
      </w:r>
      <w:r w:rsidR="000310F0" w:rsidRPr="00267FA3">
        <w:t xml:space="preserve"> </w:t>
      </w:r>
      <w:r w:rsidR="000310F0">
        <w:t xml:space="preserve">in sexual violence </w:t>
      </w:r>
      <w:r w:rsidR="000310F0">
        <w:lastRenderedPageBreak/>
        <w:t xml:space="preserve">intervention preferences, we recommend future research recruit larger samples of Indigenous Two-Spirit and non-binary individuals to improve generalizability. </w:t>
      </w:r>
      <w:bookmarkStart w:id="12" w:name="_Hlk160199720"/>
      <w:r w:rsidR="001E4939">
        <w:t>Finally, it is unclear from an empirical perspective which aspect of acceptability (ratings, rankings, willingness) is most related to actual participation in intervention.</w:t>
      </w:r>
      <w:bookmarkEnd w:id="12"/>
    </w:p>
    <w:p w14:paraId="7E8EF776" w14:textId="0914241F" w:rsidR="00807127" w:rsidRDefault="000310F0" w:rsidP="0070178C">
      <w:pPr>
        <w:ind w:firstLine="0"/>
        <w:rPr>
          <w:b/>
          <w:bCs/>
        </w:rPr>
      </w:pPr>
      <w:r>
        <w:rPr>
          <w:b/>
          <w:bCs/>
        </w:rPr>
        <w:t xml:space="preserve">Clinical and Policy </w:t>
      </w:r>
      <w:r w:rsidR="00807127">
        <w:rPr>
          <w:b/>
          <w:bCs/>
        </w:rPr>
        <w:t>Implications</w:t>
      </w:r>
    </w:p>
    <w:p w14:paraId="47A2BC98" w14:textId="6E0DF85D" w:rsidR="00807127" w:rsidRPr="003444B0" w:rsidRDefault="00807127" w:rsidP="0070178C">
      <w:pPr>
        <w:ind w:firstLine="0"/>
      </w:pPr>
      <w:r>
        <w:rPr>
          <w:b/>
          <w:bCs/>
        </w:rPr>
        <w:tab/>
      </w:r>
      <w:r w:rsidR="003444B0">
        <w:t>Our findings suggest a wide range of interventions and approaches would be appropriate for Indigenous college students and provide specific, actionable foci for preferred programs</w:t>
      </w:r>
      <w:r w:rsidR="004270C1">
        <w:t xml:space="preserve"> and components</w:t>
      </w:r>
      <w:r w:rsidR="003444B0">
        <w:t xml:space="preserve">. This suggests that offering existing intervention packages to Indigenous college students whether they are enrolled at </w:t>
      </w:r>
      <w:proofErr w:type="gramStart"/>
      <w:r w:rsidR="00782D1D">
        <w:t>PWIs</w:t>
      </w:r>
      <w:proofErr w:type="gramEnd"/>
      <w:r w:rsidR="003444B0">
        <w:t xml:space="preserve"> or </w:t>
      </w:r>
      <w:r w:rsidR="00782D1D">
        <w:t>TCUs</w:t>
      </w:r>
      <w:r w:rsidR="003444B0">
        <w:t xml:space="preserve"> is appropriate</w:t>
      </w:r>
      <w:r w:rsidR="00782D1D">
        <w:t>,</w:t>
      </w:r>
      <w:r w:rsidR="003444B0">
        <w:t xml:space="preserve"> especially</w:t>
      </w:r>
      <w:r w:rsidR="00782D1D">
        <w:t>,</w:t>
      </w:r>
      <w:r w:rsidR="003444B0">
        <w:t xml:space="preserve"> if they are offered with basic cultural adaptations</w:t>
      </w:r>
      <w:r w:rsidR="00341BCA">
        <w:t>,</w:t>
      </w:r>
      <w:r w:rsidR="003444B0">
        <w:t xml:space="preserve"> </w:t>
      </w:r>
      <w:r w:rsidR="00DF57B2">
        <w:t>such as</w:t>
      </w:r>
      <w:r w:rsidR="009E6310">
        <w:t xml:space="preserve"> in an Indigenous-specific space</w:t>
      </w:r>
      <w:r w:rsidR="004731A2">
        <w:t>, by Indigenous facilitators,</w:t>
      </w:r>
      <w:r w:rsidR="009E6310">
        <w:t xml:space="preserve"> and with</w:t>
      </w:r>
      <w:r w:rsidR="00DF57B2">
        <w:t xml:space="preserve"> Indigenous</w:t>
      </w:r>
      <w:r w:rsidR="009E6310">
        <w:t xml:space="preserve"> community</w:t>
      </w:r>
      <w:r w:rsidR="00DF57B2">
        <w:t>-specific statistics</w:t>
      </w:r>
      <w:r w:rsidR="00B724CB">
        <w:t>.</w:t>
      </w:r>
      <w:r w:rsidR="003444B0">
        <w:t xml:space="preserve"> </w:t>
      </w:r>
      <w:r w:rsidR="008534E9">
        <w:t>Our findings also support policy interventions</w:t>
      </w:r>
      <w:r w:rsidR="00782D1D">
        <w:t>,</w:t>
      </w:r>
      <w:r w:rsidR="008534E9">
        <w:t xml:space="preserve"> such as continued support by </w:t>
      </w:r>
      <w:r w:rsidR="00AE4A92">
        <w:t>the CDC</w:t>
      </w:r>
      <w:r w:rsidR="008534E9">
        <w:t xml:space="preserve"> for direct grant access and programming for tribal groups, Indigenous </w:t>
      </w:r>
      <w:r w:rsidR="00782D1D">
        <w:t>scientists</w:t>
      </w:r>
      <w:r w:rsidR="008534E9">
        <w:t xml:space="preserve">, Indigenous </w:t>
      </w:r>
      <w:r w:rsidR="00782D1D">
        <w:t>community</w:t>
      </w:r>
      <w:r w:rsidR="00AE4A92">
        <w:t>-</w:t>
      </w:r>
      <w:r w:rsidR="00782D1D">
        <w:t xml:space="preserve">engaged </w:t>
      </w:r>
      <w:r w:rsidR="00341BCA">
        <w:t xml:space="preserve">and Indigenous-led </w:t>
      </w:r>
      <w:r w:rsidR="008534E9">
        <w:t>projects.</w:t>
      </w:r>
    </w:p>
    <w:p w14:paraId="7A338175" w14:textId="403B85CC" w:rsidR="008534E9" w:rsidRDefault="008534E9" w:rsidP="008534E9">
      <w:pPr>
        <w:ind w:firstLine="0"/>
        <w:rPr>
          <w:b/>
          <w:bCs/>
        </w:rPr>
      </w:pPr>
      <w:r>
        <w:rPr>
          <w:b/>
          <w:bCs/>
        </w:rPr>
        <w:t>Conclusions</w:t>
      </w:r>
    </w:p>
    <w:p w14:paraId="0B8ADC6F" w14:textId="33285D29" w:rsidR="00ED41B4" w:rsidRDefault="008534E9" w:rsidP="00A96224">
      <w:pPr>
        <w:ind w:firstLine="0"/>
      </w:pPr>
      <w:r>
        <w:tab/>
        <w:t xml:space="preserve">Indigenous college students understand on a personal level that sexual violence is </w:t>
      </w:r>
      <w:r w:rsidR="00A96224">
        <w:t>a serious problem</w:t>
      </w:r>
      <w:r>
        <w:t xml:space="preserve"> and are willing to try a wide range of interventions and techniques to reduce their risk. We found moderate preference for particular programs</w:t>
      </w:r>
      <w:r w:rsidR="00782D1D">
        <w:t>,</w:t>
      </w:r>
      <w:r>
        <w:t xml:space="preserve"> </w:t>
      </w:r>
      <w:r w:rsidR="00782D1D">
        <w:t xml:space="preserve">such as </w:t>
      </w:r>
      <w:r w:rsidR="005D72B8">
        <w:t>SAARR</w:t>
      </w:r>
      <w:r w:rsidR="00341BCA">
        <w:t>,</w:t>
      </w:r>
      <w:r w:rsidR="005D72B8">
        <w:t xml:space="preserve"> </w:t>
      </w:r>
      <w:r>
        <w:t>which was especially appealing to</w:t>
      </w:r>
      <w:r w:rsidR="00341BCA">
        <w:t xml:space="preserve"> Indigenous</w:t>
      </w:r>
      <w:r>
        <w:t xml:space="preserve"> individuals with sexual victimization histories. </w:t>
      </w:r>
      <w:r w:rsidR="004731A2">
        <w:t xml:space="preserve">We also found a preference for interventions that include self-defense like FTS with EAAA. </w:t>
      </w:r>
      <w:r>
        <w:t>We found relatively small gender differences</w:t>
      </w:r>
      <w:r w:rsidR="00782D1D">
        <w:t>,</w:t>
      </w:r>
      <w:r>
        <w:t xml:space="preserve"> suggesting the inclusion of men</w:t>
      </w:r>
      <w:r w:rsidR="00782D1D">
        <w:t xml:space="preserve"> and Two-Spirit/non-binary individuals</w:t>
      </w:r>
      <w:r>
        <w:t xml:space="preserve"> </w:t>
      </w:r>
      <w:r w:rsidR="00782D1D">
        <w:t>are</w:t>
      </w:r>
      <w:r>
        <w:t xml:space="preserve"> strength</w:t>
      </w:r>
      <w:r w:rsidR="00782D1D">
        <w:t>s</w:t>
      </w:r>
      <w:r>
        <w:t xml:space="preserve"> for Indigenous sexual violence intervention</w:t>
      </w:r>
      <w:r w:rsidR="00341BCA">
        <w:t>s</w:t>
      </w:r>
      <w:r>
        <w:t xml:space="preserve">. </w:t>
      </w:r>
      <w:r w:rsidR="009E6310">
        <w:t>We</w:t>
      </w:r>
      <w:r>
        <w:t xml:space="preserve"> found </w:t>
      </w:r>
      <w:r w:rsidR="009E6310">
        <w:t xml:space="preserve">that </w:t>
      </w:r>
      <w:r>
        <w:t>Indigenous cultural elements</w:t>
      </w:r>
      <w:r w:rsidR="009E6310">
        <w:t xml:space="preserve"> were highly rated</w:t>
      </w:r>
      <w:r w:rsidR="00341BCA">
        <w:t>,</w:t>
      </w:r>
      <w:r>
        <w:t xml:space="preserve"> as </w:t>
      </w:r>
      <w:r w:rsidR="009E6310">
        <w:t>was</w:t>
      </w:r>
      <w:r>
        <w:t xml:space="preserve"> research support</w:t>
      </w:r>
      <w:r w:rsidR="00341BCA">
        <w:t>,</w:t>
      </w:r>
      <w:r>
        <w:t xml:space="preserve"> suggesting relatively simple efforts to Indigenize existing effective interventions would be welcomed and scientifically supportable.</w:t>
      </w:r>
    </w:p>
    <w:sdt>
      <w:sdtPr>
        <w:rPr>
          <w:rFonts w:asciiTheme="minorHAnsi" w:eastAsiaTheme="minorEastAsia" w:hAnsiTheme="minorHAnsi" w:cstheme="minorBidi"/>
        </w:rPr>
        <w:id w:val="62297111"/>
        <w:docPartObj>
          <w:docPartGallery w:val="Bibliographies"/>
          <w:docPartUnique/>
        </w:docPartObj>
      </w:sdtPr>
      <w:sdtContent>
        <w:p w14:paraId="6501A290" w14:textId="77777777" w:rsidR="00CD3837" w:rsidRDefault="005D3A03">
          <w:pPr>
            <w:pStyle w:val="SectionTitle"/>
          </w:pPr>
          <w:r>
            <w:t>References</w:t>
          </w:r>
        </w:p>
        <w:p w14:paraId="79477096" w14:textId="61201B59" w:rsidR="00C35C42" w:rsidRPr="00C35C42" w:rsidRDefault="11C6D279" w:rsidP="00C35C42">
          <w:pPr>
            <w:pStyle w:val="Bibliography"/>
            <w:rPr>
              <w:rFonts w:ascii="Times New Roman" w:hAnsi="Times New Roman" w:cs="Times New Roman"/>
            </w:rPr>
          </w:pPr>
          <w:r w:rsidRPr="11C6D279">
            <w:rPr>
              <w:rFonts w:ascii="Times New Roman" w:hAnsi="Times New Roman" w:cs="Times New Roman"/>
            </w:rPr>
            <w:t xml:space="preserve">Adler, N. E., Epel, E. S., </w:t>
          </w:r>
          <w:proofErr w:type="spellStart"/>
          <w:r w:rsidRPr="11C6D279">
            <w:rPr>
              <w:rFonts w:ascii="Times New Roman" w:hAnsi="Times New Roman" w:cs="Times New Roman"/>
            </w:rPr>
            <w:t>Castellazzo</w:t>
          </w:r>
          <w:proofErr w:type="spellEnd"/>
          <w:r w:rsidRPr="11C6D279">
            <w:rPr>
              <w:rFonts w:ascii="Times New Roman" w:hAnsi="Times New Roman" w:cs="Times New Roman"/>
            </w:rPr>
            <w:t xml:space="preserve">, G., &amp; </w:t>
          </w:r>
          <w:proofErr w:type="spellStart"/>
          <w:r w:rsidRPr="11C6D279">
            <w:rPr>
              <w:rFonts w:ascii="Times New Roman" w:hAnsi="Times New Roman" w:cs="Times New Roman"/>
            </w:rPr>
            <w:t>Ickovics</w:t>
          </w:r>
          <w:proofErr w:type="spellEnd"/>
          <w:r w:rsidRPr="11C6D279">
            <w:rPr>
              <w:rFonts w:ascii="Times New Roman" w:hAnsi="Times New Roman" w:cs="Times New Roman"/>
            </w:rPr>
            <w:t xml:space="preserve">, J. R. (2000). Relationship of subjective and objective social status with psychological and physiological functioning: Preliminary data in healthy, White women. </w:t>
          </w:r>
          <w:r w:rsidRPr="11C6D279">
            <w:rPr>
              <w:rFonts w:ascii="Times New Roman" w:hAnsi="Times New Roman" w:cs="Times New Roman"/>
              <w:i/>
              <w:iCs/>
            </w:rPr>
            <w:t>Health Psychology</w:t>
          </w:r>
          <w:r w:rsidRPr="11C6D279">
            <w:rPr>
              <w:rFonts w:ascii="Times New Roman" w:hAnsi="Times New Roman" w:cs="Times New Roman"/>
            </w:rPr>
            <w:t xml:space="preserve">, </w:t>
          </w:r>
          <w:r w:rsidRPr="11C6D279">
            <w:rPr>
              <w:rFonts w:ascii="Times New Roman" w:hAnsi="Times New Roman" w:cs="Times New Roman"/>
              <w:i/>
              <w:iCs/>
            </w:rPr>
            <w:t>19</w:t>
          </w:r>
          <w:r w:rsidRPr="11C6D279">
            <w:rPr>
              <w:rFonts w:ascii="Times New Roman" w:hAnsi="Times New Roman" w:cs="Times New Roman"/>
            </w:rPr>
            <w:t xml:space="preserve">(6), 586–592. </w:t>
          </w:r>
          <w:hyperlink r:id="rId11">
            <w:r w:rsidRPr="11C6D279">
              <w:rPr>
                <w:rStyle w:val="Hyperlink"/>
                <w:rFonts w:ascii="Times New Roman" w:hAnsi="Times New Roman" w:cs="Times New Roman"/>
              </w:rPr>
              <w:t>https://doi.org/10.1037/0278-6133.19.6.586</w:t>
            </w:r>
          </w:hyperlink>
          <w:r w:rsidRPr="11C6D279">
            <w:rPr>
              <w:rFonts w:ascii="Times New Roman" w:hAnsi="Times New Roman" w:cs="Times New Roman"/>
            </w:rPr>
            <w:t xml:space="preserve"> </w:t>
          </w:r>
        </w:p>
        <w:p w14:paraId="38FA3C3F" w14:textId="77777777" w:rsidR="00F80D5E" w:rsidRDefault="00F80D5E" w:rsidP="00F80D5E">
          <w:pPr>
            <w:ind w:left="720" w:hanging="720"/>
            <w:rPr>
              <w:kern w:val="0"/>
            </w:rPr>
          </w:pPr>
          <w:r>
            <w:t xml:space="preserve">Anderson, R. E., Cahill, S. P., &amp; Delahanty, D. L. (2018). The Psychometric Properties of the Sexual Experiences Survey-Short Form Victimization (SES-SFV) and Characteristics of Sexual Victimization Experiences in College Men. </w:t>
          </w:r>
          <w:r>
            <w:rPr>
              <w:i/>
              <w:iCs/>
            </w:rPr>
            <w:t>Psychology of Men and Masculinity</w:t>
          </w:r>
          <w:r>
            <w:t xml:space="preserve">, </w:t>
          </w:r>
          <w:r>
            <w:rPr>
              <w:i/>
              <w:iCs/>
            </w:rPr>
            <w:t>19</w:t>
          </w:r>
          <w:r>
            <w:t xml:space="preserve">(1), 25–34. </w:t>
          </w:r>
          <w:hyperlink r:id="rId12" w:history="1">
            <w:r>
              <w:rPr>
                <w:rStyle w:val="Hyperlink"/>
              </w:rPr>
              <w:t>https://psycnet.apa.org/doi/10.1037/men0000073</w:t>
            </w:r>
          </w:hyperlink>
        </w:p>
        <w:p w14:paraId="44B723F3" w14:textId="3B1C0106" w:rsidR="00C35C42" w:rsidRPr="00C35C42" w:rsidRDefault="11C6D279" w:rsidP="00C35C42">
          <w:pPr>
            <w:pStyle w:val="Bibliography"/>
            <w:rPr>
              <w:rFonts w:ascii="Times New Roman" w:hAnsi="Times New Roman" w:cs="Times New Roman"/>
            </w:rPr>
          </w:pPr>
          <w:r w:rsidRPr="11C6D279">
            <w:rPr>
              <w:rFonts w:ascii="Times New Roman" w:hAnsi="Times New Roman" w:cs="Times New Roman"/>
            </w:rPr>
            <w:t xml:space="preserve">Anderson, R. E., Kuhn, S. K., &amp; Nickell, A. E. (2022). The Preliminary Development of the North Dakota Sexual Violence Intervention Acceptability Measure. </w:t>
          </w:r>
          <w:r w:rsidRPr="11C6D279">
            <w:rPr>
              <w:rFonts w:ascii="Times New Roman" w:hAnsi="Times New Roman" w:cs="Times New Roman"/>
              <w:i/>
              <w:iCs/>
            </w:rPr>
            <w:t>The Behavior Therapist</w:t>
          </w:r>
          <w:r w:rsidRPr="11C6D279">
            <w:rPr>
              <w:rFonts w:ascii="Times New Roman" w:hAnsi="Times New Roman" w:cs="Times New Roman"/>
            </w:rPr>
            <w:t xml:space="preserve">, </w:t>
          </w:r>
          <w:r w:rsidRPr="11C6D279">
            <w:rPr>
              <w:rFonts w:ascii="Times New Roman" w:hAnsi="Times New Roman" w:cs="Times New Roman"/>
              <w:i/>
              <w:iCs/>
            </w:rPr>
            <w:t>45</w:t>
          </w:r>
          <w:r w:rsidRPr="11C6D279">
            <w:rPr>
              <w:rFonts w:ascii="Times New Roman" w:hAnsi="Times New Roman" w:cs="Times New Roman"/>
            </w:rPr>
            <w:t xml:space="preserve">(5), 175–182. </w:t>
          </w:r>
        </w:p>
        <w:p w14:paraId="40EB0C0D" w14:textId="076CD0C8" w:rsidR="00C35C42" w:rsidRDefault="00C35C42" w:rsidP="00C35C42">
          <w:pPr>
            <w:pStyle w:val="Bibliography"/>
            <w:rPr>
              <w:rFonts w:ascii="Times New Roman" w:hAnsi="Times New Roman" w:cs="Times New Roman"/>
            </w:rPr>
          </w:pPr>
          <w:proofErr w:type="spellStart"/>
          <w:r w:rsidRPr="00C35C42">
            <w:rPr>
              <w:rFonts w:ascii="Times New Roman" w:hAnsi="Times New Roman" w:cs="Times New Roman"/>
            </w:rPr>
            <w:t>Anguksuar</w:t>
          </w:r>
          <w:proofErr w:type="spellEnd"/>
          <w:r w:rsidRPr="00C35C42">
            <w:rPr>
              <w:rFonts w:ascii="Times New Roman" w:hAnsi="Times New Roman" w:cs="Times New Roman"/>
            </w:rPr>
            <w:t>, L. R. (1997). A postcolonial perspective on W</w:t>
          </w:r>
          <w:r w:rsidR="00A74805">
            <w:rPr>
              <w:rFonts w:ascii="Times New Roman" w:hAnsi="Times New Roman" w:cs="Times New Roman"/>
            </w:rPr>
            <w:t>e</w:t>
          </w:r>
          <w:r w:rsidRPr="00C35C42">
            <w:rPr>
              <w:rFonts w:ascii="Times New Roman" w:hAnsi="Times New Roman" w:cs="Times New Roman"/>
            </w:rPr>
            <w:t xml:space="preserve">stern [mis] conceptions of the cosmos and the restoration of indigenous taxonomies. In </w:t>
          </w:r>
          <w:r w:rsidRPr="00C35C42">
            <w:rPr>
              <w:rFonts w:ascii="Times New Roman" w:hAnsi="Times New Roman" w:cs="Times New Roman"/>
              <w:i/>
              <w:iCs/>
            </w:rPr>
            <w:t>Two-spirit People: Native American Gender Identity, Sexuality, and Spirituality</w:t>
          </w:r>
          <w:r w:rsidRPr="00C35C42">
            <w:rPr>
              <w:rFonts w:ascii="Times New Roman" w:hAnsi="Times New Roman" w:cs="Times New Roman"/>
            </w:rPr>
            <w:t xml:space="preserve"> (pp. 217–222). University of Illinois Press.</w:t>
          </w:r>
        </w:p>
        <w:p w14:paraId="143A2258" w14:textId="14BBE4AD" w:rsidR="00C35C42" w:rsidRPr="00C35C42" w:rsidRDefault="00C35C42" w:rsidP="00C35C42">
          <w:pPr>
            <w:pStyle w:val="Bibliography"/>
            <w:rPr>
              <w:rFonts w:ascii="Times New Roman" w:hAnsi="Times New Roman" w:cs="Times New Roman"/>
            </w:rPr>
          </w:pPr>
          <w:r w:rsidRPr="00C35C42">
            <w:rPr>
              <w:rFonts w:ascii="Times New Roman" w:hAnsi="Times New Roman" w:cs="Times New Roman"/>
            </w:rPr>
            <w:t xml:space="preserve">Bachman, R., </w:t>
          </w:r>
          <w:proofErr w:type="spellStart"/>
          <w:r w:rsidRPr="00C35C42">
            <w:rPr>
              <w:rFonts w:ascii="Times New Roman" w:hAnsi="Times New Roman" w:cs="Times New Roman"/>
            </w:rPr>
            <w:t>Zaykowski</w:t>
          </w:r>
          <w:proofErr w:type="spellEnd"/>
          <w:r w:rsidRPr="00C35C42">
            <w:rPr>
              <w:rFonts w:ascii="Times New Roman" w:hAnsi="Times New Roman" w:cs="Times New Roman"/>
            </w:rPr>
            <w:t xml:space="preserve">, H., Lanier, C., </w:t>
          </w:r>
          <w:proofErr w:type="spellStart"/>
          <w:r w:rsidRPr="00C35C42">
            <w:rPr>
              <w:rFonts w:ascii="Times New Roman" w:hAnsi="Times New Roman" w:cs="Times New Roman"/>
            </w:rPr>
            <w:t>Poteyeva</w:t>
          </w:r>
          <w:proofErr w:type="spellEnd"/>
          <w:r w:rsidRPr="00C35C42">
            <w:rPr>
              <w:rFonts w:ascii="Times New Roman" w:hAnsi="Times New Roman" w:cs="Times New Roman"/>
            </w:rPr>
            <w:t xml:space="preserve">, M., &amp; </w:t>
          </w:r>
          <w:proofErr w:type="spellStart"/>
          <w:r w:rsidRPr="00C35C42">
            <w:rPr>
              <w:rFonts w:ascii="Times New Roman" w:hAnsi="Times New Roman" w:cs="Times New Roman"/>
            </w:rPr>
            <w:t>Kallmyer</w:t>
          </w:r>
          <w:proofErr w:type="spellEnd"/>
          <w:r w:rsidRPr="00C35C42">
            <w:rPr>
              <w:rFonts w:ascii="Times New Roman" w:hAnsi="Times New Roman" w:cs="Times New Roman"/>
            </w:rPr>
            <w:t xml:space="preserve">, R. (2010). Estimating the Magnitude of Rape and Sexual Assault Against American Indian and Alaska Native (AIAN) Women. </w:t>
          </w:r>
          <w:r w:rsidRPr="00C35C42">
            <w:rPr>
              <w:rFonts w:ascii="Times New Roman" w:hAnsi="Times New Roman" w:cs="Times New Roman"/>
              <w:i/>
              <w:iCs/>
            </w:rPr>
            <w:t>Australian &amp; New Zealand Journal of Criminology</w:t>
          </w:r>
          <w:r w:rsidRPr="00C35C42">
            <w:rPr>
              <w:rFonts w:ascii="Times New Roman" w:hAnsi="Times New Roman" w:cs="Times New Roman"/>
            </w:rPr>
            <w:t xml:space="preserve">, </w:t>
          </w:r>
          <w:r w:rsidRPr="00C35C42">
            <w:rPr>
              <w:rFonts w:ascii="Times New Roman" w:hAnsi="Times New Roman" w:cs="Times New Roman"/>
              <w:i/>
              <w:iCs/>
            </w:rPr>
            <w:t>43</w:t>
          </w:r>
          <w:r w:rsidRPr="00C35C42">
            <w:rPr>
              <w:rFonts w:ascii="Times New Roman" w:hAnsi="Times New Roman" w:cs="Times New Roman"/>
            </w:rPr>
            <w:t>(2), 199–222. https://doi.org/10.1375/acri.43.2.199</w:t>
          </w:r>
        </w:p>
        <w:p w14:paraId="439454A9" w14:textId="0543BE12" w:rsidR="00FE50E2" w:rsidRPr="00FE50E2" w:rsidRDefault="00FE50E2" w:rsidP="00FE50E2">
          <w:pPr>
            <w:pStyle w:val="Bibliography"/>
            <w:rPr>
              <w:rFonts w:ascii="Times New Roman" w:hAnsi="Times New Roman" w:cs="Times New Roman"/>
            </w:rPr>
          </w:pPr>
          <w:r w:rsidRPr="00FE50E2">
            <w:rPr>
              <w:rFonts w:ascii="Times New Roman" w:hAnsi="Times New Roman" w:cs="Times New Roman"/>
            </w:rPr>
            <w:t xml:space="preserve">Basile, K. C., Smith, S. G., </w:t>
          </w:r>
          <w:proofErr w:type="spellStart"/>
          <w:r w:rsidRPr="00FE50E2">
            <w:rPr>
              <w:rFonts w:ascii="Times New Roman" w:hAnsi="Times New Roman" w:cs="Times New Roman"/>
            </w:rPr>
            <w:t>Kresnow</w:t>
          </w:r>
          <w:proofErr w:type="spellEnd"/>
          <w:r w:rsidRPr="00FE50E2">
            <w:rPr>
              <w:rFonts w:ascii="Times New Roman" w:hAnsi="Times New Roman" w:cs="Times New Roman"/>
            </w:rPr>
            <w:t xml:space="preserve">, M., Khatiwada, S., &amp; </w:t>
          </w:r>
          <w:proofErr w:type="spellStart"/>
          <w:r w:rsidRPr="00FE50E2">
            <w:rPr>
              <w:rFonts w:ascii="Times New Roman" w:hAnsi="Times New Roman" w:cs="Times New Roman"/>
            </w:rPr>
            <w:t>Leemis</w:t>
          </w:r>
          <w:proofErr w:type="spellEnd"/>
          <w:r w:rsidRPr="00FE50E2">
            <w:rPr>
              <w:rFonts w:ascii="Times New Roman" w:hAnsi="Times New Roman" w:cs="Times New Roman"/>
            </w:rPr>
            <w:t xml:space="preserve">, R. W. (2022). </w:t>
          </w:r>
          <w:r w:rsidRPr="00FE50E2">
            <w:rPr>
              <w:rFonts w:ascii="Times New Roman" w:hAnsi="Times New Roman" w:cs="Times New Roman"/>
              <w:i/>
              <w:iCs/>
            </w:rPr>
            <w:t>The National Intimate Partner and Sexual Violence Survey: 2016/2017 Report on Sexual Violence</w:t>
          </w:r>
          <w:r w:rsidRPr="00FE50E2">
            <w:rPr>
              <w:rFonts w:ascii="Times New Roman" w:hAnsi="Times New Roman" w:cs="Times New Roman"/>
            </w:rPr>
            <w:t xml:space="preserve">. Centers for Disease Control and Prevention. </w:t>
          </w:r>
          <w:hyperlink r:id="rId13" w:history="1">
            <w:r w:rsidR="009523D6" w:rsidRPr="00393329">
              <w:rPr>
                <w:rStyle w:val="Hyperlink"/>
                <w:rFonts w:ascii="Times New Roman" w:hAnsi="Times New Roman" w:cs="Times New Roman"/>
              </w:rPr>
              <w:t>www.cdc.gov/violenceprevention/pdf/nisvs/nisvsReportonSexualViolence.pdf</w:t>
            </w:r>
          </w:hyperlink>
        </w:p>
        <w:p w14:paraId="47F28595" w14:textId="77777777" w:rsidR="00C35C42" w:rsidRPr="00C35C42" w:rsidRDefault="00C35C42" w:rsidP="00C35C42">
          <w:pPr>
            <w:pStyle w:val="Bibliography"/>
            <w:rPr>
              <w:rFonts w:ascii="Times New Roman" w:hAnsi="Times New Roman" w:cs="Times New Roman"/>
            </w:rPr>
          </w:pPr>
          <w:r w:rsidRPr="00C35C42">
            <w:rPr>
              <w:rFonts w:ascii="Times New Roman" w:hAnsi="Times New Roman" w:cs="Times New Roman"/>
            </w:rPr>
            <w:lastRenderedPageBreak/>
            <w:t xml:space="preserve">Belone, L., Orosco, A., Damon, E., Smith-McNeal, W., Rae, R., Sherpa, M. L., Myers, O. B., Omeh, A. O., &amp; Wallerstein, N. (2017). The piloting of a culturally centered American Indian family prevention program: A CBPR partnership between Mescalero Apache and the University of New Mexico. </w:t>
          </w:r>
          <w:r w:rsidRPr="00C35C42">
            <w:rPr>
              <w:rFonts w:ascii="Times New Roman" w:hAnsi="Times New Roman" w:cs="Times New Roman"/>
              <w:i/>
              <w:iCs/>
            </w:rPr>
            <w:t>Public Health Reviews</w:t>
          </w:r>
          <w:r w:rsidRPr="00C35C42">
            <w:rPr>
              <w:rFonts w:ascii="Times New Roman" w:hAnsi="Times New Roman" w:cs="Times New Roman"/>
            </w:rPr>
            <w:t xml:space="preserve">, </w:t>
          </w:r>
          <w:r w:rsidRPr="00C35C42">
            <w:rPr>
              <w:rFonts w:ascii="Times New Roman" w:hAnsi="Times New Roman" w:cs="Times New Roman"/>
              <w:i/>
              <w:iCs/>
            </w:rPr>
            <w:t>38</w:t>
          </w:r>
          <w:r w:rsidRPr="00C35C42">
            <w:rPr>
              <w:rFonts w:ascii="Times New Roman" w:hAnsi="Times New Roman" w:cs="Times New Roman"/>
            </w:rPr>
            <w:t>(1), 30. https://doi.org/10.1186/s40985-017-0076-1</w:t>
          </w:r>
        </w:p>
        <w:p w14:paraId="1853B2C5" w14:textId="77777777" w:rsidR="00F80D5E" w:rsidRDefault="6E997885" w:rsidP="7BA8CD5A">
          <w:pPr>
            <w:pStyle w:val="Bibliography"/>
            <w:rPr>
              <w:rFonts w:ascii="Times New Roman" w:hAnsi="Times New Roman" w:cs="Times New Roman"/>
            </w:rPr>
          </w:pPr>
          <w:r w:rsidRPr="6E997885">
            <w:rPr>
              <w:rFonts w:ascii="Times New Roman" w:hAnsi="Times New Roman" w:cs="Times New Roman"/>
            </w:rPr>
            <w:t xml:space="preserve">Bernstein, D. P., Fink, L., Handelsman, L., Foote, J., Lovejoy, M., Wenzel, K., </w:t>
          </w:r>
          <w:proofErr w:type="spellStart"/>
          <w:r w:rsidRPr="6E997885">
            <w:rPr>
              <w:rFonts w:ascii="Times New Roman" w:hAnsi="Times New Roman" w:cs="Times New Roman"/>
            </w:rPr>
            <w:t>Sapareto</w:t>
          </w:r>
          <w:proofErr w:type="spellEnd"/>
          <w:r w:rsidRPr="6E997885">
            <w:rPr>
              <w:rFonts w:ascii="Times New Roman" w:hAnsi="Times New Roman" w:cs="Times New Roman"/>
            </w:rPr>
            <w:t xml:space="preserve">, E., &amp; Ruggiero, J. (1994). Initial reliability and validity of a new retrospective measure of child abuse and neglect. </w:t>
          </w:r>
          <w:r w:rsidRPr="6E997885">
            <w:rPr>
              <w:rFonts w:ascii="Times New Roman" w:hAnsi="Times New Roman" w:cs="Times New Roman"/>
              <w:i/>
              <w:iCs/>
            </w:rPr>
            <w:t>The American Journal of Psychiatry, 151</w:t>
          </w:r>
          <w:r w:rsidRPr="6E997885">
            <w:rPr>
              <w:rFonts w:ascii="Times New Roman" w:hAnsi="Times New Roman" w:cs="Times New Roman"/>
            </w:rPr>
            <w:t xml:space="preserve">(8), 1132–1136. </w:t>
          </w:r>
        </w:p>
        <w:p w14:paraId="648D8284" w14:textId="16DC3115" w:rsidR="7BA8CD5A" w:rsidRPr="00AD4AB8" w:rsidRDefault="7BA8CD5A" w:rsidP="7BA8CD5A">
          <w:pPr>
            <w:pStyle w:val="Bibliography"/>
            <w:rPr>
              <w:rFonts w:cstheme="minorHAnsi"/>
            </w:rPr>
          </w:pPr>
          <w:r w:rsidRPr="7BA8CD5A">
            <w:rPr>
              <w:rFonts w:ascii="Times New Roman" w:hAnsi="Times New Roman" w:cs="Times New Roman"/>
            </w:rPr>
            <w:t>Brave Heart, M. Y. H</w:t>
          </w:r>
          <w:r w:rsidRPr="00AD4AB8">
            <w:rPr>
              <w:rFonts w:cstheme="minorHAnsi"/>
            </w:rPr>
            <w:t xml:space="preserve">. B. (2003). The Historical Trauma Response Among Natives and Its Relationship with Substance Abuse: A Lakota Illustration. </w:t>
          </w:r>
          <w:r w:rsidRPr="00AD4AB8">
            <w:rPr>
              <w:rFonts w:cstheme="minorHAnsi"/>
              <w:i/>
              <w:iCs/>
            </w:rPr>
            <w:t>Journal of Psychoactive Drugs</w:t>
          </w:r>
          <w:r w:rsidRPr="00AD4AB8">
            <w:rPr>
              <w:rFonts w:cstheme="minorHAnsi"/>
            </w:rPr>
            <w:t xml:space="preserve">, </w:t>
          </w:r>
          <w:r w:rsidRPr="00AD4AB8">
            <w:rPr>
              <w:rFonts w:cstheme="minorHAnsi"/>
              <w:i/>
              <w:iCs/>
            </w:rPr>
            <w:t>35</w:t>
          </w:r>
          <w:r w:rsidRPr="00AD4AB8">
            <w:rPr>
              <w:rFonts w:cstheme="minorHAnsi"/>
            </w:rPr>
            <w:t xml:space="preserve">(1), 7–13. </w:t>
          </w:r>
          <w:hyperlink r:id="rId14" w:history="1">
            <w:r w:rsidRPr="00AD4AB8">
              <w:rPr>
                <w:rStyle w:val="Hyperlink"/>
                <w:rFonts w:cstheme="minorHAnsi"/>
              </w:rPr>
              <w:t>https://doi.org/10.1080/02791072.2003.10399988</w:t>
            </w:r>
          </w:hyperlink>
        </w:p>
        <w:p w14:paraId="62729569" w14:textId="549B25E0" w:rsidR="7BA8CD5A" w:rsidRPr="00AD4AB8" w:rsidRDefault="7BA8CD5A" w:rsidP="00AD4AB8">
          <w:pPr>
            <w:ind w:left="720" w:hanging="720"/>
            <w:rPr>
              <w:rStyle w:val="Hyperlink"/>
              <w:rFonts w:cstheme="minorHAnsi"/>
              <w:color w:val="auto"/>
            </w:rPr>
          </w:pPr>
          <w:r w:rsidRPr="00AD4AB8">
            <w:rPr>
              <w:rStyle w:val="Hyperlink"/>
              <w:rFonts w:cstheme="minorHAnsi"/>
              <w:color w:val="auto"/>
              <w:u w:val="none"/>
            </w:rPr>
            <w:t>Centers for Disease Control and Prevention. 2018. Leading Causes of Death – Females – All races and origins – United States, 2018.</w:t>
          </w:r>
          <w:r w:rsidRPr="00AD4AB8">
            <w:rPr>
              <w:rStyle w:val="Hyperlink"/>
              <w:rFonts w:cstheme="minorHAnsi"/>
              <w:color w:val="auto"/>
            </w:rPr>
            <w:t xml:space="preserve"> </w:t>
          </w:r>
          <w:hyperlink r:id="rId15" w:history="1">
            <w:r w:rsidRPr="00AD4AB8">
              <w:rPr>
                <w:rStyle w:val="Hyperlink"/>
                <w:rFonts w:cstheme="minorHAnsi"/>
              </w:rPr>
              <w:t>https://www.cdc.gov/women/lcod/2018/all-races-origins/index.htm</w:t>
            </w:r>
          </w:hyperlink>
        </w:p>
        <w:p w14:paraId="3FD21B61" w14:textId="77777777" w:rsidR="00C35C42" w:rsidRPr="00AD4AB8" w:rsidRDefault="00C35C42" w:rsidP="00C35C42">
          <w:pPr>
            <w:pStyle w:val="Bibliography"/>
            <w:rPr>
              <w:rFonts w:cstheme="minorHAnsi"/>
            </w:rPr>
          </w:pPr>
          <w:r w:rsidRPr="00AD4AB8">
            <w:rPr>
              <w:rFonts w:cstheme="minorHAnsi"/>
            </w:rPr>
            <w:t xml:space="preserve">Clinton-Sherrod, M., Morgan-Lopez, A. A., Brown, J. M., McMillen, B. A., &amp; Cowell, A. (2011). Incapacitated sexual violence involving alcohol among college women: The impact of a brief drinking intervention. </w:t>
          </w:r>
          <w:r w:rsidRPr="00AD4AB8">
            <w:rPr>
              <w:rFonts w:cstheme="minorHAnsi"/>
              <w:i/>
              <w:iCs/>
            </w:rPr>
            <w:t>Violence against Women</w:t>
          </w:r>
          <w:r w:rsidRPr="00AD4AB8">
            <w:rPr>
              <w:rFonts w:cstheme="minorHAnsi"/>
            </w:rPr>
            <w:t xml:space="preserve">, </w:t>
          </w:r>
          <w:r w:rsidRPr="00AD4AB8">
            <w:rPr>
              <w:rFonts w:cstheme="minorHAnsi"/>
              <w:i/>
              <w:iCs/>
            </w:rPr>
            <w:t>17</w:t>
          </w:r>
          <w:r w:rsidRPr="00AD4AB8">
            <w:rPr>
              <w:rFonts w:cstheme="minorHAnsi"/>
            </w:rPr>
            <w:t>(1), 135–154. https://doi.org/10.1177/1077801210394272</w:t>
          </w:r>
        </w:p>
        <w:p w14:paraId="636CFD01" w14:textId="4C52A257" w:rsidR="00C35C42" w:rsidRPr="00AD4AB8" w:rsidRDefault="00C35C42" w:rsidP="00C35C42">
          <w:pPr>
            <w:pStyle w:val="Bibliography"/>
            <w:rPr>
              <w:rFonts w:cstheme="minorHAnsi"/>
            </w:rPr>
          </w:pPr>
          <w:r w:rsidRPr="00AD4AB8">
            <w:rPr>
              <w:rFonts w:cstheme="minorHAnsi"/>
            </w:rPr>
            <w:t xml:space="preserve">Deer, S. (2015). </w:t>
          </w:r>
          <w:r w:rsidRPr="00AD4AB8">
            <w:rPr>
              <w:rFonts w:cstheme="minorHAnsi"/>
              <w:i/>
              <w:iCs/>
            </w:rPr>
            <w:t>The Beginning and End of Rape: Confronting Sexual Violence in Native America</w:t>
          </w:r>
          <w:r w:rsidRPr="00AD4AB8">
            <w:rPr>
              <w:rFonts w:cstheme="minorHAnsi"/>
            </w:rPr>
            <w:t>. U of Minnesota Press.</w:t>
          </w:r>
        </w:p>
        <w:p w14:paraId="67330479" w14:textId="2E4F8CA3" w:rsidR="00C35C42" w:rsidRPr="00AD4AB8" w:rsidRDefault="00C35C42" w:rsidP="00C35C42">
          <w:pPr>
            <w:pStyle w:val="Bibliography"/>
            <w:rPr>
              <w:rFonts w:cstheme="minorHAnsi"/>
            </w:rPr>
          </w:pPr>
          <w:r w:rsidRPr="00AD4AB8">
            <w:rPr>
              <w:rFonts w:cstheme="minorHAnsi"/>
            </w:rPr>
            <w:t xml:space="preserve">Edwards, K. M., Banyard, V. L., Sessarego, S. N., Waterman, E. A., Mitchell, K. J., &amp; Chang, H. (2019). Evaluation of a Bystander-Focused Interpersonal Violence Prevention Program </w:t>
          </w:r>
          <w:r w:rsidRPr="00AD4AB8">
            <w:rPr>
              <w:rFonts w:cstheme="minorHAnsi"/>
            </w:rPr>
            <w:lastRenderedPageBreak/>
            <w:t xml:space="preserve">with High School Students. </w:t>
          </w:r>
          <w:r w:rsidRPr="00AD4AB8">
            <w:rPr>
              <w:rFonts w:cstheme="minorHAnsi"/>
              <w:i/>
              <w:iCs/>
            </w:rPr>
            <w:t>Prevention Science</w:t>
          </w:r>
          <w:r w:rsidRPr="00AD4AB8">
            <w:rPr>
              <w:rFonts w:cstheme="minorHAnsi"/>
            </w:rPr>
            <w:t xml:space="preserve">, </w:t>
          </w:r>
          <w:r w:rsidRPr="00AD4AB8">
            <w:rPr>
              <w:rFonts w:cstheme="minorHAnsi"/>
              <w:i/>
              <w:iCs/>
            </w:rPr>
            <w:t>20</w:t>
          </w:r>
          <w:r w:rsidRPr="00AD4AB8">
            <w:rPr>
              <w:rFonts w:cstheme="minorHAnsi"/>
            </w:rPr>
            <w:t>(4), 488–498. https://doi.org/10.1007/s11121-019-01000-w</w:t>
          </w:r>
        </w:p>
        <w:p w14:paraId="2B3F927D" w14:textId="72A25205" w:rsidR="00C35C42" w:rsidRPr="00AD4AB8" w:rsidRDefault="00C35C42" w:rsidP="00C35C42">
          <w:pPr>
            <w:pStyle w:val="Bibliography"/>
            <w:rPr>
              <w:rFonts w:cstheme="minorHAnsi"/>
            </w:rPr>
          </w:pPr>
          <w:r w:rsidRPr="00AD4AB8">
            <w:rPr>
              <w:rFonts w:cstheme="minorHAnsi"/>
            </w:rPr>
            <w:t xml:space="preserve">Edwards, K. M., Herrington, R., </w:t>
          </w:r>
          <w:r w:rsidR="009523D6">
            <w:rPr>
              <w:rFonts w:cstheme="minorHAnsi"/>
            </w:rPr>
            <w:t xml:space="preserve">Leader </w:t>
          </w:r>
          <w:r w:rsidRPr="00AD4AB8">
            <w:rPr>
              <w:rFonts w:cstheme="minorHAnsi"/>
            </w:rPr>
            <w:t xml:space="preserve">Charge, L., </w:t>
          </w:r>
          <w:r w:rsidR="009523D6">
            <w:rPr>
              <w:rFonts w:cstheme="minorHAnsi"/>
            </w:rPr>
            <w:t xml:space="preserve">Leader </w:t>
          </w:r>
          <w:r w:rsidRPr="00AD4AB8">
            <w:rPr>
              <w:rFonts w:cstheme="minorHAnsi"/>
            </w:rPr>
            <w:t>Charge, D.</w:t>
          </w:r>
          <w:r w:rsidR="009523D6">
            <w:rPr>
              <w:rFonts w:cstheme="minorHAnsi"/>
            </w:rPr>
            <w:t xml:space="preserve"> P.</w:t>
          </w:r>
          <w:r w:rsidRPr="00AD4AB8">
            <w:rPr>
              <w:rFonts w:cstheme="minorHAnsi"/>
            </w:rPr>
            <w:t>, Hopfauf, S., Camp, E. E., Simon, B., Waterman, E. A., &amp; Banyard, V. L. (2022</w:t>
          </w:r>
          <w:r w:rsidR="009523D6">
            <w:rPr>
              <w:rFonts w:cstheme="minorHAnsi"/>
            </w:rPr>
            <w:t>a</w:t>
          </w:r>
          <w:r w:rsidRPr="00AD4AB8">
            <w:rPr>
              <w:rFonts w:cstheme="minorHAnsi"/>
            </w:rPr>
            <w:t xml:space="preserve">). Engaging Native American Youth and Their Caregivers in Sexual Violence Research: A Case Study Documenting Challenges, Opportunities, and Lessons Learned. </w:t>
          </w:r>
          <w:r w:rsidRPr="00AD4AB8">
            <w:rPr>
              <w:rFonts w:cstheme="minorHAnsi"/>
              <w:i/>
              <w:iCs/>
            </w:rPr>
            <w:t>Journal of Interpersonal Violence</w:t>
          </w:r>
          <w:r w:rsidRPr="00AD4AB8">
            <w:rPr>
              <w:rFonts w:cstheme="minorHAnsi"/>
            </w:rPr>
            <w:t>, 08862605211072158. https://doi.org/10.1177/08862605211072158</w:t>
          </w:r>
        </w:p>
        <w:p w14:paraId="40E39AE7" w14:textId="583177F6" w:rsidR="00C35C42" w:rsidRPr="00AD4AB8" w:rsidRDefault="00C35C42" w:rsidP="00C35C42">
          <w:pPr>
            <w:pStyle w:val="Bibliography"/>
            <w:rPr>
              <w:rFonts w:cstheme="minorHAnsi"/>
            </w:rPr>
          </w:pPr>
          <w:r w:rsidRPr="00AD4AB8">
            <w:rPr>
              <w:rFonts w:cstheme="minorHAnsi"/>
            </w:rPr>
            <w:t>Edwards, K. M., Herrington, R., Edwards, M., Banyard, V., Mullet, N., Hopfauf, S., Simon, B., &amp; Waterman, E. A. (2022</w:t>
          </w:r>
          <w:r w:rsidR="009523D6">
            <w:rPr>
              <w:rFonts w:cstheme="minorHAnsi"/>
            </w:rPr>
            <w:t>b</w:t>
          </w:r>
          <w:r w:rsidRPr="00AD4AB8">
            <w:rPr>
              <w:rFonts w:cstheme="minorHAnsi"/>
            </w:rPr>
            <w:t xml:space="preserve">). Using intergenerational photovoice to understand family strengths among Native American children and their caregivers. </w:t>
          </w:r>
          <w:r w:rsidRPr="00AD4AB8">
            <w:rPr>
              <w:rFonts w:cstheme="minorHAnsi"/>
              <w:i/>
              <w:iCs/>
            </w:rPr>
            <w:t>Journal of Community Psychology</w:t>
          </w:r>
          <w:r w:rsidRPr="00AD4AB8">
            <w:rPr>
              <w:rFonts w:cstheme="minorHAnsi"/>
            </w:rPr>
            <w:t xml:space="preserve">, </w:t>
          </w:r>
          <w:r w:rsidRPr="00AD4AB8">
            <w:rPr>
              <w:rFonts w:cstheme="minorHAnsi"/>
              <w:i/>
              <w:iCs/>
            </w:rPr>
            <w:t>50</w:t>
          </w:r>
          <w:r w:rsidRPr="00AD4AB8">
            <w:rPr>
              <w:rFonts w:cstheme="minorHAnsi"/>
            </w:rPr>
            <w:t>(8), 3625–3639. https://doi.org/10.1002/jcop.22860</w:t>
          </w:r>
        </w:p>
        <w:p w14:paraId="76BA736B" w14:textId="5E0CD59C" w:rsidR="00C35C42" w:rsidRPr="00AD4AB8" w:rsidRDefault="00C35C42" w:rsidP="00C35C42">
          <w:pPr>
            <w:pStyle w:val="Bibliography"/>
            <w:rPr>
              <w:rFonts w:cstheme="minorHAnsi"/>
            </w:rPr>
          </w:pPr>
          <w:r w:rsidRPr="00AD4AB8">
            <w:rPr>
              <w:rFonts w:cstheme="minorHAnsi"/>
            </w:rPr>
            <w:t xml:space="preserve">Edwards, K. M., Siller, L., Wheeler, L. A., </w:t>
          </w:r>
          <w:r w:rsidR="009523D6">
            <w:rPr>
              <w:rFonts w:cstheme="minorHAnsi"/>
            </w:rPr>
            <w:t xml:space="preserve">Leader </w:t>
          </w:r>
          <w:r w:rsidRPr="00AD4AB8">
            <w:rPr>
              <w:rFonts w:cstheme="minorHAnsi"/>
            </w:rPr>
            <w:t xml:space="preserve">Charge, L., Leader Charge, D. P., Bordeaux, S., Herrington, R., Hopfauf, S. L., &amp; Simon, B. (2021). Effectiveness of a Sexual Assault Self-defense Program for American Indian Girls. </w:t>
          </w:r>
          <w:r w:rsidRPr="00AD4AB8">
            <w:rPr>
              <w:rFonts w:cstheme="minorHAnsi"/>
              <w:i/>
              <w:iCs/>
            </w:rPr>
            <w:t>Journal Of Interpersonal Violence</w:t>
          </w:r>
          <w:r w:rsidRPr="00AD4AB8">
            <w:rPr>
              <w:rFonts w:cstheme="minorHAnsi"/>
            </w:rPr>
            <w:t xml:space="preserve">. </w:t>
          </w:r>
          <w:hyperlink r:id="rId16" w:history="1">
            <w:r w:rsidR="00A60F4D" w:rsidRPr="00AD4AB8">
              <w:rPr>
                <w:rStyle w:val="Hyperlink"/>
                <w:rFonts w:cstheme="minorHAnsi"/>
              </w:rPr>
              <w:t>https://doi.org/10.1177/0886260521997942</w:t>
            </w:r>
          </w:hyperlink>
        </w:p>
        <w:p w14:paraId="499DD70F" w14:textId="550A36C0" w:rsidR="00A60F4D" w:rsidRPr="00AD4AB8" w:rsidRDefault="00A60F4D" w:rsidP="00CA747E">
          <w:pPr>
            <w:autoSpaceDE w:val="0"/>
            <w:autoSpaceDN w:val="0"/>
            <w:adjustRightInd w:val="0"/>
            <w:ind w:left="720" w:right="-720" w:hanging="720"/>
            <w:contextualSpacing/>
            <w:rPr>
              <w:rFonts w:cstheme="minorHAnsi"/>
              <w:kern w:val="0"/>
            </w:rPr>
          </w:pPr>
          <w:r w:rsidRPr="00AD4AB8">
            <w:rPr>
              <w:rFonts w:cstheme="minorHAnsi"/>
              <w:kern w:val="0"/>
            </w:rPr>
            <w:t xml:space="preserve">Evans-Campbell, T., Lindhorst, T., Huang, B., &amp; Walters, K. L. (2006). Interpersonal violence in the lives of urban American Indian and Alaska Native women: Implications for health, mental health, and help-seeking. </w:t>
          </w:r>
          <w:r w:rsidRPr="00AD4AB8">
            <w:rPr>
              <w:rFonts w:cstheme="minorHAnsi"/>
              <w:i/>
              <w:kern w:val="0"/>
            </w:rPr>
            <w:t>American Journal of Public Health</w:t>
          </w:r>
          <w:r w:rsidRPr="00AD4AB8">
            <w:rPr>
              <w:rFonts w:cstheme="minorHAnsi"/>
              <w:kern w:val="0"/>
            </w:rPr>
            <w:t>,</w:t>
          </w:r>
          <w:r w:rsidRPr="00AD4AB8">
            <w:rPr>
              <w:rFonts w:cstheme="minorHAnsi"/>
              <w:i/>
              <w:kern w:val="0"/>
            </w:rPr>
            <w:t xml:space="preserve"> 96</w:t>
          </w:r>
          <w:r w:rsidRPr="00AD4AB8">
            <w:rPr>
              <w:rFonts w:cstheme="minorHAnsi"/>
              <w:kern w:val="0"/>
            </w:rPr>
            <w:t xml:space="preserve">(8), 1416-1422. </w:t>
          </w:r>
        </w:p>
        <w:p w14:paraId="69EAD877" w14:textId="00C98399" w:rsidR="00C35C42" w:rsidRPr="00AD4AB8" w:rsidRDefault="6E997885" w:rsidP="6E997885">
          <w:pPr>
            <w:pStyle w:val="Bibliography"/>
          </w:pPr>
          <w:r w:rsidRPr="6E997885">
            <w:t>Fish, J., Livingston, J. A., Vanzile-Tamsen, C., &amp; Patterson Silver Wolf (</w:t>
          </w:r>
          <w:proofErr w:type="spellStart"/>
          <w:r w:rsidRPr="6E997885">
            <w:t>Adelv</w:t>
          </w:r>
          <w:proofErr w:type="spellEnd"/>
          <w:r w:rsidRPr="6E997885">
            <w:t xml:space="preserve"> </w:t>
          </w:r>
          <w:proofErr w:type="spellStart"/>
          <w:r w:rsidRPr="6E997885">
            <w:t>Unegv</w:t>
          </w:r>
          <w:proofErr w:type="spellEnd"/>
          <w:r w:rsidRPr="6E997885">
            <w:t xml:space="preserve"> Waya), D. A. (2017). Victimization and substance use among native American college students. </w:t>
          </w:r>
          <w:r w:rsidRPr="6E997885">
            <w:rPr>
              <w:i/>
              <w:iCs/>
            </w:rPr>
            <w:t>Journal of College Student Development</w:t>
          </w:r>
          <w:r w:rsidRPr="6E997885">
            <w:t xml:space="preserve">, </w:t>
          </w:r>
          <w:r w:rsidRPr="6E997885">
            <w:rPr>
              <w:i/>
              <w:iCs/>
            </w:rPr>
            <w:t>58</w:t>
          </w:r>
          <w:r w:rsidRPr="6E997885">
            <w:t xml:space="preserve">(3), 413–431. </w:t>
          </w:r>
          <w:hyperlink r:id="rId17">
            <w:r w:rsidRPr="6E997885">
              <w:rPr>
                <w:rStyle w:val="Hyperlink"/>
              </w:rPr>
              <w:t>https://doi.org/10.1353/csd.2017.0031</w:t>
            </w:r>
          </w:hyperlink>
          <w:r w:rsidRPr="6E997885">
            <w:t xml:space="preserve"> </w:t>
          </w:r>
        </w:p>
        <w:p w14:paraId="717F2C29" w14:textId="77777777" w:rsidR="00C35C42" w:rsidRPr="00AD4AB8" w:rsidRDefault="00C35C42" w:rsidP="00C35C42">
          <w:pPr>
            <w:pStyle w:val="Bibliography"/>
            <w:rPr>
              <w:rFonts w:cstheme="minorHAnsi"/>
            </w:rPr>
          </w:pPr>
          <w:r w:rsidRPr="00AD4AB8">
            <w:rPr>
              <w:rFonts w:cstheme="minorHAnsi"/>
            </w:rPr>
            <w:lastRenderedPageBreak/>
            <w:t xml:space="preserve">Freeman, B. J., Coll, K. M., Two Dogs, R., Iron Cloud Two Dogs, E., Iron Cloud, E., &amp; Robertson, P. (2016). The Value of Lakota Traditional Healing for Youth Resiliency and Family Functioning. </w:t>
          </w:r>
          <w:r w:rsidRPr="00AD4AB8">
            <w:rPr>
              <w:rFonts w:cstheme="minorHAnsi"/>
              <w:i/>
              <w:iCs/>
            </w:rPr>
            <w:t>Journal of Aggression, Maltreatment and Trauma</w:t>
          </w:r>
          <w:r w:rsidRPr="00AD4AB8">
            <w:rPr>
              <w:rFonts w:cstheme="minorHAnsi"/>
            </w:rPr>
            <w:t xml:space="preserve">, </w:t>
          </w:r>
          <w:r w:rsidRPr="00AD4AB8">
            <w:rPr>
              <w:rFonts w:cstheme="minorHAnsi"/>
              <w:i/>
              <w:iCs/>
            </w:rPr>
            <w:t>25</w:t>
          </w:r>
          <w:r w:rsidRPr="00AD4AB8">
            <w:rPr>
              <w:rFonts w:cstheme="minorHAnsi"/>
            </w:rPr>
            <w:t>(5), 455–469. https://doi.org/10.1080/10926771.2015.1079282</w:t>
          </w:r>
        </w:p>
        <w:p w14:paraId="36CE266B" w14:textId="77777777" w:rsidR="00C35C42" w:rsidRPr="00AD4AB8" w:rsidRDefault="00C35C42" w:rsidP="00C35C42">
          <w:pPr>
            <w:pStyle w:val="Bibliography"/>
            <w:rPr>
              <w:rFonts w:cstheme="minorHAnsi"/>
            </w:rPr>
          </w:pPr>
          <w:proofErr w:type="spellStart"/>
          <w:r w:rsidRPr="00AD4AB8">
            <w:rPr>
              <w:rFonts w:cstheme="minorHAnsi"/>
            </w:rPr>
            <w:t>Gidycz</w:t>
          </w:r>
          <w:proofErr w:type="spellEnd"/>
          <w:r w:rsidRPr="00AD4AB8">
            <w:rPr>
              <w:rFonts w:cstheme="minorHAnsi"/>
            </w:rPr>
            <w:t xml:space="preserve">, C., &amp; Dardis, C. (2014). Feminist Self-Defense and Resistance Training for College Students: A Critical Review and Recommendations for the Future. </w:t>
          </w:r>
          <w:r w:rsidRPr="00AD4AB8">
            <w:rPr>
              <w:rFonts w:cstheme="minorHAnsi"/>
              <w:i/>
              <w:iCs/>
            </w:rPr>
            <w:t>Trauma, Violence, &amp; Abuse</w:t>
          </w:r>
          <w:r w:rsidRPr="00AD4AB8">
            <w:rPr>
              <w:rFonts w:cstheme="minorHAnsi"/>
            </w:rPr>
            <w:t xml:space="preserve">, </w:t>
          </w:r>
          <w:r w:rsidRPr="00AD4AB8">
            <w:rPr>
              <w:rFonts w:cstheme="minorHAnsi"/>
              <w:i/>
              <w:iCs/>
            </w:rPr>
            <w:t>15</w:t>
          </w:r>
          <w:r w:rsidRPr="00AD4AB8">
            <w:rPr>
              <w:rFonts w:cstheme="minorHAnsi"/>
            </w:rPr>
            <w:t>(4), 322–333. https://doi.org/10.1177/1524838014521026</w:t>
          </w:r>
        </w:p>
        <w:p w14:paraId="1DA4A4B9" w14:textId="0138DB85" w:rsidR="00C35C42" w:rsidRPr="00AD4AB8" w:rsidRDefault="00C35C42" w:rsidP="00C35C42">
          <w:pPr>
            <w:pStyle w:val="Bibliography"/>
            <w:rPr>
              <w:rFonts w:cstheme="minorHAnsi"/>
            </w:rPr>
          </w:pPr>
          <w:r w:rsidRPr="00AD4AB8">
            <w:rPr>
              <w:rFonts w:cstheme="minorHAnsi"/>
            </w:rPr>
            <w:t xml:space="preserve">Gilmore, A. K., Lewis, M. A., &amp; George, W. H. (2015). A randomized controlled trial targeting alcohol use and sexual assault risk among college women at high risk for victimization. </w:t>
          </w:r>
          <w:proofErr w:type="spellStart"/>
          <w:r w:rsidRPr="00AD4AB8">
            <w:rPr>
              <w:rFonts w:cstheme="minorHAnsi"/>
              <w:i/>
              <w:iCs/>
            </w:rPr>
            <w:t>Behaviour</w:t>
          </w:r>
          <w:proofErr w:type="spellEnd"/>
          <w:r w:rsidRPr="00AD4AB8">
            <w:rPr>
              <w:rFonts w:cstheme="minorHAnsi"/>
              <w:i/>
              <w:iCs/>
            </w:rPr>
            <w:t xml:space="preserve"> Research and Therapy</w:t>
          </w:r>
          <w:r w:rsidRPr="00AD4AB8">
            <w:rPr>
              <w:rFonts w:cstheme="minorHAnsi"/>
            </w:rPr>
            <w:t xml:space="preserve">, </w:t>
          </w:r>
          <w:r w:rsidRPr="00AD4AB8">
            <w:rPr>
              <w:rFonts w:cstheme="minorHAnsi"/>
              <w:i/>
              <w:iCs/>
            </w:rPr>
            <w:t>74</w:t>
          </w:r>
          <w:r w:rsidRPr="00AD4AB8">
            <w:rPr>
              <w:rFonts w:cstheme="minorHAnsi"/>
            </w:rPr>
            <w:t xml:space="preserve">, 38–49. </w:t>
          </w:r>
          <w:hyperlink r:id="rId18" w:history="1">
            <w:r w:rsidR="00A60F4D" w:rsidRPr="00AD4AB8">
              <w:rPr>
                <w:rStyle w:val="Hyperlink"/>
                <w:rFonts w:cstheme="minorHAnsi"/>
              </w:rPr>
              <w:t>https://doi.org/10.1016/j.brat.2015.08.007</w:t>
            </w:r>
          </w:hyperlink>
        </w:p>
        <w:p w14:paraId="29ADF24F" w14:textId="2CD912DF" w:rsidR="006569F6" w:rsidRPr="00AD4AB8" w:rsidRDefault="00C35C42" w:rsidP="006569F6">
          <w:pPr>
            <w:pStyle w:val="Bibliography"/>
            <w:rPr>
              <w:rFonts w:cstheme="minorHAnsi"/>
            </w:rPr>
          </w:pPr>
          <w:r w:rsidRPr="00AD4AB8">
            <w:rPr>
              <w:rFonts w:cstheme="minorHAnsi"/>
            </w:rPr>
            <w:t xml:space="preserve">Hollander, J. (2018). Women’s self‐defense and sexual assault resistance: The state of the field. </w:t>
          </w:r>
          <w:r w:rsidRPr="00AD4AB8">
            <w:rPr>
              <w:rFonts w:cstheme="minorHAnsi"/>
              <w:i/>
              <w:iCs/>
            </w:rPr>
            <w:t>Sociology Compass</w:t>
          </w:r>
          <w:r w:rsidRPr="00AD4AB8">
            <w:rPr>
              <w:rFonts w:cstheme="minorHAnsi"/>
            </w:rPr>
            <w:t xml:space="preserve">, </w:t>
          </w:r>
          <w:r w:rsidRPr="00AD4AB8">
            <w:rPr>
              <w:rFonts w:cstheme="minorHAnsi"/>
              <w:i/>
              <w:iCs/>
            </w:rPr>
            <w:t>12</w:t>
          </w:r>
          <w:r w:rsidRPr="00AD4AB8">
            <w:rPr>
              <w:rFonts w:cstheme="minorHAnsi"/>
            </w:rPr>
            <w:t>(e12597), 1–20.</w:t>
          </w:r>
        </w:p>
        <w:p w14:paraId="55C76FAB" w14:textId="77777777" w:rsidR="00CB72AD" w:rsidRDefault="00CB72AD" w:rsidP="00F80D5E">
          <w:pPr>
            <w:ind w:left="720" w:hanging="720"/>
            <w:rPr>
              <w:rFonts w:cstheme="minorHAnsi"/>
            </w:rPr>
          </w:pPr>
          <w:r w:rsidRPr="00CB72AD">
            <w:rPr>
              <w:rFonts w:cstheme="minorHAnsi"/>
            </w:rPr>
            <w:t xml:space="preserve">Hulme, P. A. (2007). Psychometric evaluation and comparison of three retrospective, multi-item measures of childhood sexual abuse. Child Abuse and Neglect, 31(8), 853–869. https://doi.org/10.1016/j.chiabu.2007.03.016 </w:t>
          </w:r>
        </w:p>
        <w:p w14:paraId="714D53EF" w14:textId="16ABBEE7" w:rsidR="00F80D5E" w:rsidRPr="00F80D5E" w:rsidRDefault="00F80D5E" w:rsidP="00F80D5E">
          <w:pPr>
            <w:ind w:left="720" w:hanging="720"/>
            <w:rPr>
              <w:rFonts w:cstheme="minorHAnsi"/>
            </w:rPr>
          </w:pPr>
          <w:r w:rsidRPr="00F80D5E">
            <w:rPr>
              <w:rFonts w:cstheme="minorHAnsi"/>
            </w:rPr>
            <w:t xml:space="preserve">Johnson, S. M., Murphy, M. J., &amp; </w:t>
          </w:r>
          <w:proofErr w:type="spellStart"/>
          <w:r w:rsidRPr="00F80D5E">
            <w:rPr>
              <w:rFonts w:cstheme="minorHAnsi"/>
            </w:rPr>
            <w:t>Gidycz</w:t>
          </w:r>
          <w:proofErr w:type="spellEnd"/>
          <w:r w:rsidRPr="00F80D5E">
            <w:rPr>
              <w:rFonts w:cstheme="minorHAnsi"/>
            </w:rPr>
            <w:t xml:space="preserve">, C. A. (2017). Reliability and validity of the Sexual Experiences Survey—Short Forms victimization and perpetration. </w:t>
          </w:r>
          <w:r w:rsidRPr="00F80D5E">
            <w:rPr>
              <w:rFonts w:cstheme="minorHAnsi"/>
              <w:i/>
              <w:iCs/>
            </w:rPr>
            <w:t>Violence and Victims</w:t>
          </w:r>
          <w:r w:rsidRPr="00F80D5E">
            <w:rPr>
              <w:rFonts w:cstheme="minorHAnsi"/>
            </w:rPr>
            <w:t xml:space="preserve">, </w:t>
          </w:r>
          <w:r w:rsidRPr="00F80D5E">
            <w:rPr>
              <w:rFonts w:cstheme="minorHAnsi"/>
              <w:i/>
              <w:iCs/>
            </w:rPr>
            <w:t>32</w:t>
          </w:r>
          <w:r w:rsidRPr="00F80D5E">
            <w:rPr>
              <w:rFonts w:cstheme="minorHAnsi"/>
            </w:rPr>
            <w:t xml:space="preserve">(1), 78–92. </w:t>
          </w:r>
          <w:hyperlink r:id="rId19" w:history="1">
            <w:r w:rsidRPr="00F80D5E">
              <w:rPr>
                <w:rStyle w:val="Hyperlink"/>
                <w:rFonts w:cstheme="minorHAnsi"/>
              </w:rPr>
              <w:t>https://doi.org/10.1891/0886-6708.VV-D-15-00110</w:t>
            </w:r>
          </w:hyperlink>
        </w:p>
        <w:p w14:paraId="60B4247A" w14:textId="288E6B60" w:rsidR="00C60AB4" w:rsidRPr="00AD4AB8" w:rsidRDefault="00C60AB4" w:rsidP="004731A2">
          <w:pPr>
            <w:autoSpaceDE w:val="0"/>
            <w:autoSpaceDN w:val="0"/>
            <w:adjustRightInd w:val="0"/>
            <w:ind w:left="720" w:hanging="720"/>
            <w:contextualSpacing/>
            <w:rPr>
              <w:rFonts w:cstheme="minorHAnsi"/>
              <w:kern w:val="0"/>
            </w:rPr>
          </w:pPr>
          <w:r w:rsidRPr="00AD4AB8">
            <w:rPr>
              <w:rFonts w:cstheme="minorHAnsi"/>
              <w:color w:val="222222"/>
              <w:shd w:val="clear" w:color="auto" w:fill="FFFFFF"/>
            </w:rPr>
            <w:t xml:space="preserve">Koss, M. P., Yuan, N. P., </w:t>
          </w:r>
          <w:proofErr w:type="spellStart"/>
          <w:r w:rsidRPr="00AD4AB8">
            <w:rPr>
              <w:rFonts w:cstheme="minorHAnsi"/>
              <w:color w:val="222222"/>
              <w:shd w:val="clear" w:color="auto" w:fill="FFFFFF"/>
            </w:rPr>
            <w:t>Dightman</w:t>
          </w:r>
          <w:proofErr w:type="spellEnd"/>
          <w:r w:rsidRPr="00AD4AB8">
            <w:rPr>
              <w:rFonts w:cstheme="minorHAnsi"/>
              <w:color w:val="222222"/>
              <w:shd w:val="clear" w:color="auto" w:fill="FFFFFF"/>
            </w:rPr>
            <w:t>, D., Prince, R. J., Polacca, M., Sanderson, B., &amp; Goldman, D. (2003). Adverse childhood exposures and alcohol dependence among seven Native American tribes. </w:t>
          </w:r>
          <w:r w:rsidRPr="00AD4AB8">
            <w:rPr>
              <w:rFonts w:cstheme="minorHAnsi"/>
              <w:i/>
              <w:iCs/>
              <w:color w:val="222222"/>
              <w:shd w:val="clear" w:color="auto" w:fill="FFFFFF"/>
            </w:rPr>
            <w:t>American journal of preventive medicine</w:t>
          </w:r>
          <w:r w:rsidRPr="00AD4AB8">
            <w:rPr>
              <w:rFonts w:cstheme="minorHAnsi"/>
              <w:color w:val="222222"/>
              <w:shd w:val="clear" w:color="auto" w:fill="FFFFFF"/>
            </w:rPr>
            <w:t>, </w:t>
          </w:r>
          <w:r w:rsidRPr="00AD4AB8">
            <w:rPr>
              <w:rFonts w:cstheme="minorHAnsi"/>
              <w:i/>
              <w:iCs/>
              <w:color w:val="222222"/>
              <w:shd w:val="clear" w:color="auto" w:fill="FFFFFF"/>
            </w:rPr>
            <w:t>25</w:t>
          </w:r>
          <w:r w:rsidRPr="00AD4AB8">
            <w:rPr>
              <w:rFonts w:cstheme="minorHAnsi"/>
              <w:color w:val="222222"/>
              <w:shd w:val="clear" w:color="auto" w:fill="FFFFFF"/>
            </w:rPr>
            <w:t>(3), 238-244.</w:t>
          </w:r>
          <w:r w:rsidRPr="00AD4AB8">
            <w:rPr>
              <w:rFonts w:cstheme="minorHAnsi"/>
              <w:kern w:val="0"/>
            </w:rPr>
            <w:t xml:space="preserve"> </w:t>
          </w:r>
        </w:p>
        <w:p w14:paraId="35B1B9A6" w14:textId="6D530E1E" w:rsidR="00F263DC" w:rsidRDefault="00F263DC" w:rsidP="004731A2">
          <w:pPr>
            <w:autoSpaceDE w:val="0"/>
            <w:autoSpaceDN w:val="0"/>
            <w:adjustRightInd w:val="0"/>
            <w:ind w:left="720" w:right="-90" w:hanging="720"/>
            <w:contextualSpacing/>
            <w:rPr>
              <w:rFonts w:cstheme="minorHAnsi"/>
              <w:kern w:val="0"/>
            </w:rPr>
          </w:pPr>
          <w:r>
            <w:rPr>
              <w:rFonts w:cstheme="minorHAnsi"/>
              <w:kern w:val="0"/>
            </w:rPr>
            <w:t xml:space="preserve">Koss, M. P., Anderson, R. E., Peterson, Z. D., Littleton, H. L., Abbey, A., Kowalski, R., Canan, S., Thompson, M. P., White, J., Orchowski, L. M., Fedina, L., McCauley, H., Lopez, E., &amp; </w:t>
          </w:r>
          <w:r>
            <w:rPr>
              <w:rFonts w:cstheme="minorHAnsi"/>
              <w:kern w:val="0"/>
            </w:rPr>
            <w:lastRenderedPageBreak/>
            <w:t>Allen, C. T. (</w:t>
          </w:r>
          <w:r w:rsidRPr="00F263DC">
            <w:rPr>
              <w:rFonts w:cstheme="minorHAnsi"/>
              <w:i/>
              <w:iCs/>
              <w:kern w:val="0"/>
            </w:rPr>
            <w:t>in press</w:t>
          </w:r>
          <w:r>
            <w:rPr>
              <w:rFonts w:cstheme="minorHAnsi"/>
              <w:kern w:val="0"/>
            </w:rPr>
            <w:t>) The Revised Sexual Experiences Survey Victimization Version (SES-V): Conceptualization, modifications, items, and scoring.</w:t>
          </w:r>
        </w:p>
        <w:p w14:paraId="7BA3BF8F" w14:textId="30F803AC" w:rsidR="006569F6" w:rsidRPr="00AD4AB8" w:rsidRDefault="006569F6" w:rsidP="004731A2">
          <w:pPr>
            <w:autoSpaceDE w:val="0"/>
            <w:autoSpaceDN w:val="0"/>
            <w:adjustRightInd w:val="0"/>
            <w:ind w:left="720" w:right="-90" w:hanging="720"/>
            <w:contextualSpacing/>
            <w:rPr>
              <w:rFonts w:cstheme="minorHAnsi"/>
              <w:kern w:val="0"/>
            </w:rPr>
          </w:pPr>
          <w:r w:rsidRPr="00AD4AB8">
            <w:rPr>
              <w:rFonts w:cstheme="minorHAnsi"/>
              <w:kern w:val="0"/>
            </w:rPr>
            <w:t>Kuhn, S. K. (2022). An Exploration of Bisexual+ Women’s Preferences for Sexual Violence Vulnerability Reduction Interventions: A Multiethnic, Multi-Racial Sample. ProQuest Dissertations Publishing.</w:t>
          </w:r>
        </w:p>
        <w:p w14:paraId="09F09EC1" w14:textId="2F30BBDC" w:rsidR="00A60F4D" w:rsidRPr="00AD4AB8" w:rsidRDefault="00A60F4D" w:rsidP="004731A2">
          <w:pPr>
            <w:autoSpaceDE w:val="0"/>
            <w:autoSpaceDN w:val="0"/>
            <w:adjustRightInd w:val="0"/>
            <w:ind w:left="720" w:right="-90" w:hanging="720"/>
            <w:contextualSpacing/>
            <w:rPr>
              <w:rFonts w:cstheme="minorHAnsi"/>
              <w:kern w:val="0"/>
            </w:rPr>
          </w:pPr>
          <w:r w:rsidRPr="00AD4AB8">
            <w:rPr>
              <w:rFonts w:cstheme="minorHAnsi"/>
              <w:kern w:val="0"/>
            </w:rPr>
            <w:t xml:space="preserve">Landen, M., Roeber, J., Naimi, T., Nielsen, L., &amp; Sewell, M. (2014). Alcohol-attributable mortality among American Indians and Alaska Natives in the United States, 1999–2009. </w:t>
          </w:r>
          <w:r w:rsidRPr="00AD4AB8">
            <w:rPr>
              <w:rFonts w:cstheme="minorHAnsi"/>
              <w:i/>
              <w:iCs/>
              <w:kern w:val="0"/>
            </w:rPr>
            <w:t>American Journal of Public Health</w:t>
          </w:r>
          <w:r w:rsidRPr="00AD4AB8">
            <w:rPr>
              <w:rFonts w:cstheme="minorHAnsi"/>
              <w:kern w:val="0"/>
            </w:rPr>
            <w:t>,</w:t>
          </w:r>
          <w:r w:rsidRPr="00AD4AB8">
            <w:rPr>
              <w:rFonts w:cstheme="minorHAnsi"/>
              <w:i/>
              <w:iCs/>
              <w:kern w:val="0"/>
            </w:rPr>
            <w:t xml:space="preserve"> 104</w:t>
          </w:r>
          <w:r w:rsidRPr="00AD4AB8">
            <w:rPr>
              <w:rFonts w:cstheme="minorHAnsi"/>
              <w:kern w:val="0"/>
            </w:rPr>
            <w:t xml:space="preserve">(Suppl 3), S343-S349. </w:t>
          </w:r>
          <w:hyperlink r:id="rId20" w:history="1">
            <w:r w:rsidRPr="00AD4AB8">
              <w:rPr>
                <w:rFonts w:cstheme="minorHAnsi"/>
                <w:color w:val="5F5F5F" w:themeColor="hyperlink"/>
                <w:kern w:val="0"/>
                <w:u w:val="single"/>
              </w:rPr>
              <w:t>https://doi.org/https://doi.org/10.2105/AJPH.2013.301648</w:t>
            </w:r>
          </w:hyperlink>
          <w:r w:rsidRPr="00AD4AB8">
            <w:rPr>
              <w:rFonts w:cstheme="minorHAnsi"/>
              <w:kern w:val="0"/>
            </w:rPr>
            <w:t xml:space="preserve"> </w:t>
          </w:r>
        </w:p>
        <w:p w14:paraId="50BDE755" w14:textId="77777777" w:rsidR="009523D6" w:rsidRPr="009523D6" w:rsidRDefault="009523D6" w:rsidP="009523D6">
          <w:pPr>
            <w:pStyle w:val="Bibliography"/>
            <w:contextualSpacing/>
            <w:rPr>
              <w:rFonts w:cstheme="minorHAnsi"/>
            </w:rPr>
          </w:pPr>
          <w:r w:rsidRPr="009523D6">
            <w:rPr>
              <w:rFonts w:cstheme="minorHAnsi"/>
            </w:rPr>
            <w:t xml:space="preserve">Lucchesi, A., &amp; Echo-Hawk, A. (2018). </w:t>
          </w:r>
          <w:r w:rsidRPr="009523D6">
            <w:rPr>
              <w:rFonts w:cstheme="minorHAnsi"/>
              <w:i/>
              <w:iCs/>
            </w:rPr>
            <w:t>Missing and Murdered Indigenous Women &amp; Girls: A snapshot of data from 71 urban cities in the United States</w:t>
          </w:r>
          <w:r w:rsidRPr="009523D6">
            <w:rPr>
              <w:rFonts w:cstheme="minorHAnsi"/>
            </w:rPr>
            <w:t xml:space="preserve">. </w:t>
          </w:r>
          <w:hyperlink r:id="rId21" w:history="1">
            <w:r w:rsidRPr="009523D6">
              <w:rPr>
                <w:rStyle w:val="Hyperlink"/>
                <w:rFonts w:cstheme="minorHAnsi"/>
              </w:rPr>
              <w:t>https://ncvc.dspacedirect.org/handle/20.500.11990/1000</w:t>
            </w:r>
          </w:hyperlink>
        </w:p>
        <w:p w14:paraId="62E59933" w14:textId="0CC113AE" w:rsidR="00926839" w:rsidRPr="00AD4AB8" w:rsidRDefault="00C35C42" w:rsidP="00E66094">
          <w:pPr>
            <w:pStyle w:val="Bibliography"/>
            <w:contextualSpacing/>
            <w:rPr>
              <w:rFonts w:cstheme="minorHAnsi"/>
            </w:rPr>
          </w:pPr>
          <w:r w:rsidRPr="00AD4AB8">
            <w:rPr>
              <w:rFonts w:cstheme="minorHAnsi"/>
            </w:rPr>
            <w:t xml:space="preserve">Marsh, T. N., Cote-Meek, S., Young, N. L., </w:t>
          </w:r>
          <w:proofErr w:type="spellStart"/>
          <w:r w:rsidRPr="00AD4AB8">
            <w:rPr>
              <w:rFonts w:cstheme="minorHAnsi"/>
            </w:rPr>
            <w:t>Najavits</w:t>
          </w:r>
          <w:proofErr w:type="spellEnd"/>
          <w:r w:rsidRPr="00AD4AB8">
            <w:rPr>
              <w:rFonts w:cstheme="minorHAnsi"/>
            </w:rPr>
            <w:t xml:space="preserve">, L. M., &amp; Toulouse, P. (2016). Indigenous healing and seeking safety: A blended implementation project for intergenerational trauma and substance use disorders. </w:t>
          </w:r>
          <w:r w:rsidRPr="00AD4AB8">
            <w:rPr>
              <w:rFonts w:cstheme="minorHAnsi"/>
              <w:i/>
              <w:iCs/>
            </w:rPr>
            <w:t>International Indigenous Policy Journal</w:t>
          </w:r>
          <w:r w:rsidRPr="00AD4AB8">
            <w:rPr>
              <w:rFonts w:cstheme="minorHAnsi"/>
            </w:rPr>
            <w:t xml:space="preserve">, </w:t>
          </w:r>
          <w:r w:rsidRPr="00AD4AB8">
            <w:rPr>
              <w:rFonts w:cstheme="minorHAnsi"/>
              <w:i/>
              <w:iCs/>
            </w:rPr>
            <w:t>7</w:t>
          </w:r>
          <w:r w:rsidRPr="00AD4AB8">
            <w:rPr>
              <w:rFonts w:cstheme="minorHAnsi"/>
            </w:rPr>
            <w:t xml:space="preserve">(2). </w:t>
          </w:r>
          <w:hyperlink r:id="rId22" w:history="1">
            <w:r w:rsidR="00AF59E6" w:rsidRPr="00AD4AB8">
              <w:rPr>
                <w:rStyle w:val="Hyperlink"/>
                <w:rFonts w:cstheme="minorHAnsi"/>
              </w:rPr>
              <w:t>https://doi.org/10.18584/iipj.2016.7.2.3</w:t>
            </w:r>
          </w:hyperlink>
        </w:p>
        <w:p w14:paraId="59C2EB24" w14:textId="77777777" w:rsidR="00FE50E2" w:rsidRPr="00AD4AB8" w:rsidRDefault="00FE50E2" w:rsidP="00FE50E2">
          <w:pPr>
            <w:ind w:left="720" w:hanging="720"/>
            <w:rPr>
              <w:rFonts w:cstheme="minorHAnsi"/>
            </w:rPr>
          </w:pPr>
          <w:proofErr w:type="spellStart"/>
          <w:r w:rsidRPr="00AD4AB8">
            <w:rPr>
              <w:rFonts w:cstheme="minorHAnsi"/>
            </w:rPr>
            <w:t>Mellins</w:t>
          </w:r>
          <w:proofErr w:type="spellEnd"/>
          <w:r w:rsidRPr="00AD4AB8">
            <w:rPr>
              <w:rFonts w:cstheme="minorHAnsi"/>
            </w:rPr>
            <w:t xml:space="preserve">, C. A., Walsh, K., </w:t>
          </w:r>
          <w:proofErr w:type="spellStart"/>
          <w:r w:rsidRPr="00AD4AB8">
            <w:rPr>
              <w:rFonts w:cstheme="minorHAnsi"/>
            </w:rPr>
            <w:t>Sarvet</w:t>
          </w:r>
          <w:proofErr w:type="spellEnd"/>
          <w:r w:rsidRPr="00AD4AB8">
            <w:rPr>
              <w:rFonts w:cstheme="minorHAnsi"/>
            </w:rPr>
            <w:t xml:space="preserve">, A. L., Wall, M., Gilbert, L., Santelli, J. S., Thompson, M., Wilson, P. A., Khan, S., Benson, S., Bah, K., Kaufman, K. A., Reardon, L., &amp; Hirsch, J. S. (2017). Sexual assault incidents among college undergraduates: Prevalence and factors associated with risk. </w:t>
          </w:r>
          <w:proofErr w:type="spellStart"/>
          <w:r w:rsidRPr="00AD4AB8">
            <w:rPr>
              <w:rFonts w:cstheme="minorHAnsi"/>
              <w:i/>
              <w:iCs/>
            </w:rPr>
            <w:t>PLoS</w:t>
          </w:r>
          <w:proofErr w:type="spellEnd"/>
          <w:r w:rsidRPr="00AD4AB8">
            <w:rPr>
              <w:rFonts w:cstheme="minorHAnsi"/>
              <w:i/>
              <w:iCs/>
            </w:rPr>
            <w:t xml:space="preserve"> ONE</w:t>
          </w:r>
          <w:r w:rsidRPr="00AD4AB8">
            <w:rPr>
              <w:rFonts w:cstheme="minorHAnsi"/>
            </w:rPr>
            <w:t xml:space="preserve">, </w:t>
          </w:r>
          <w:r w:rsidRPr="00AD4AB8">
            <w:rPr>
              <w:rFonts w:cstheme="minorHAnsi"/>
              <w:i/>
              <w:iCs/>
            </w:rPr>
            <w:t>12</w:t>
          </w:r>
          <w:r w:rsidRPr="00AD4AB8">
            <w:rPr>
              <w:rFonts w:cstheme="minorHAnsi"/>
            </w:rPr>
            <w:t xml:space="preserve">(11). </w:t>
          </w:r>
          <w:hyperlink r:id="rId23" w:history="1">
            <w:r w:rsidRPr="00AD4AB8">
              <w:rPr>
                <w:rStyle w:val="Hyperlink"/>
                <w:rFonts w:cstheme="minorHAnsi"/>
              </w:rPr>
              <w:t>https://doi.org/10.1371/journal.pone.0186471</w:t>
            </w:r>
          </w:hyperlink>
        </w:p>
        <w:p w14:paraId="65320B32" w14:textId="37C5279A" w:rsidR="00AF59E6" w:rsidRPr="00AD4AB8" w:rsidRDefault="00AF59E6" w:rsidP="00CA747E">
          <w:pPr>
            <w:ind w:left="720" w:hanging="720"/>
            <w:rPr>
              <w:rFonts w:cstheme="minorHAnsi"/>
            </w:rPr>
          </w:pPr>
          <w:proofErr w:type="spellStart"/>
          <w:r w:rsidRPr="00AD4AB8">
            <w:rPr>
              <w:rFonts w:cstheme="minorHAnsi"/>
            </w:rPr>
            <w:t>Muehlenhard</w:t>
          </w:r>
          <w:proofErr w:type="spellEnd"/>
          <w:r w:rsidRPr="00AD4AB8">
            <w:rPr>
              <w:rFonts w:cstheme="minorHAnsi"/>
            </w:rPr>
            <w:t xml:space="preserve">, C. L., Peterson, Z. D., Humphreys, T. P., &amp; </w:t>
          </w:r>
          <w:proofErr w:type="spellStart"/>
          <w:r w:rsidRPr="00AD4AB8">
            <w:rPr>
              <w:rFonts w:cstheme="minorHAnsi"/>
            </w:rPr>
            <w:t>Jozkowski</w:t>
          </w:r>
          <w:proofErr w:type="spellEnd"/>
          <w:r w:rsidRPr="00AD4AB8">
            <w:rPr>
              <w:rFonts w:cstheme="minorHAnsi"/>
            </w:rPr>
            <w:t>, K. N. (2017). Evaluating the one-in-five statistic: Women’s risk of sexual assault while in college. </w:t>
          </w:r>
          <w:r w:rsidRPr="00AD4AB8">
            <w:rPr>
              <w:rFonts w:cstheme="minorHAnsi"/>
              <w:i/>
              <w:iCs/>
            </w:rPr>
            <w:t>The Journal of Sex Research</w:t>
          </w:r>
          <w:r w:rsidRPr="00AD4AB8">
            <w:rPr>
              <w:rFonts w:cstheme="minorHAnsi"/>
            </w:rPr>
            <w:t>, </w:t>
          </w:r>
          <w:r w:rsidRPr="00AD4AB8">
            <w:rPr>
              <w:rFonts w:cstheme="minorHAnsi"/>
              <w:i/>
              <w:iCs/>
            </w:rPr>
            <w:t>54</w:t>
          </w:r>
          <w:r w:rsidRPr="00AD4AB8">
            <w:rPr>
              <w:rFonts w:cstheme="minorHAnsi"/>
            </w:rPr>
            <w:t>(4-5), 549-576.</w:t>
          </w:r>
        </w:p>
        <w:p w14:paraId="32C2BEB7" w14:textId="77C3EDA3" w:rsidR="00C35C42" w:rsidRPr="00AD4AB8" w:rsidRDefault="00C35C42" w:rsidP="00C35C42">
          <w:pPr>
            <w:pStyle w:val="Bibliography"/>
            <w:contextualSpacing/>
            <w:rPr>
              <w:rFonts w:cstheme="minorHAnsi"/>
            </w:rPr>
          </w:pPr>
          <w:r w:rsidRPr="00AD4AB8">
            <w:rPr>
              <w:rFonts w:cstheme="minorHAnsi"/>
            </w:rPr>
            <w:lastRenderedPageBreak/>
            <w:t xml:space="preserve">Orchowski, L. M., Edwards, K. M., Hollander, J. A., Banyard, V. L., Senn, C. Y., &amp; </w:t>
          </w:r>
          <w:proofErr w:type="spellStart"/>
          <w:r w:rsidRPr="00AD4AB8">
            <w:rPr>
              <w:rFonts w:cstheme="minorHAnsi"/>
            </w:rPr>
            <w:t>Gidycz</w:t>
          </w:r>
          <w:proofErr w:type="spellEnd"/>
          <w:r w:rsidRPr="00AD4AB8">
            <w:rPr>
              <w:rFonts w:cstheme="minorHAnsi"/>
            </w:rPr>
            <w:t xml:space="preserve">, C. A. (2018). Integrating Sexual Assault Resistance, Bystander, and Men’s Social Norms Strategies to Prevent Sexual Violence on College Campuses: A Call to Action. </w:t>
          </w:r>
          <w:r w:rsidRPr="00AD4AB8">
            <w:rPr>
              <w:rFonts w:cstheme="minorHAnsi"/>
              <w:i/>
              <w:iCs/>
            </w:rPr>
            <w:t>Trauma, Violence, &amp; Abuse</w:t>
          </w:r>
          <w:r w:rsidRPr="00AD4AB8">
            <w:rPr>
              <w:rFonts w:cstheme="minorHAnsi"/>
            </w:rPr>
            <w:t>, 152483801878915–152483801878915. https://doi.org/10.1177/1524838018789153</w:t>
          </w:r>
        </w:p>
        <w:p w14:paraId="741B323E" w14:textId="625BF1E4" w:rsidR="00C35C42" w:rsidRPr="00AD4AB8" w:rsidRDefault="00C35C42" w:rsidP="00C35C42">
          <w:pPr>
            <w:pStyle w:val="Bibliography"/>
            <w:rPr>
              <w:rFonts w:cstheme="minorHAnsi"/>
            </w:rPr>
          </w:pPr>
          <w:r w:rsidRPr="00AD4AB8">
            <w:rPr>
              <w:rFonts w:cstheme="minorHAnsi"/>
            </w:rPr>
            <w:t xml:space="preserve">Paul, G. L. (1967). Strategy of outcome research in psychotherapy. </w:t>
          </w:r>
          <w:r w:rsidRPr="00AD4AB8">
            <w:rPr>
              <w:rFonts w:cstheme="minorHAnsi"/>
              <w:i/>
              <w:iCs/>
            </w:rPr>
            <w:t>Journal of Consulting Psychology</w:t>
          </w:r>
          <w:r w:rsidRPr="00AD4AB8">
            <w:rPr>
              <w:rFonts w:cstheme="minorHAnsi"/>
            </w:rPr>
            <w:t xml:space="preserve">, </w:t>
          </w:r>
          <w:r w:rsidRPr="00AD4AB8">
            <w:rPr>
              <w:rFonts w:cstheme="minorHAnsi"/>
              <w:i/>
              <w:iCs/>
            </w:rPr>
            <w:t>31</w:t>
          </w:r>
          <w:r w:rsidRPr="00AD4AB8">
            <w:rPr>
              <w:rFonts w:cstheme="minorHAnsi"/>
            </w:rPr>
            <w:t xml:space="preserve">(2), 109–118. </w:t>
          </w:r>
          <w:hyperlink r:id="rId24" w:history="1">
            <w:r w:rsidR="00A60F4D" w:rsidRPr="00AD4AB8">
              <w:rPr>
                <w:rStyle w:val="Hyperlink"/>
                <w:rFonts w:cstheme="minorHAnsi"/>
              </w:rPr>
              <w:t>https://doi.org/10.1037/h0024436</w:t>
            </w:r>
          </w:hyperlink>
        </w:p>
        <w:p w14:paraId="61003105" w14:textId="77777777" w:rsidR="00C60AB4" w:rsidRPr="00AD4AB8" w:rsidRDefault="00C60AB4" w:rsidP="004731A2">
          <w:pPr>
            <w:autoSpaceDE w:val="0"/>
            <w:autoSpaceDN w:val="0"/>
            <w:adjustRightInd w:val="0"/>
            <w:ind w:left="720" w:hanging="720"/>
            <w:contextualSpacing/>
            <w:rPr>
              <w:rFonts w:cstheme="minorHAnsi"/>
              <w:color w:val="000000"/>
              <w:kern w:val="0"/>
            </w:rPr>
          </w:pPr>
          <w:r w:rsidRPr="00AD4AB8">
            <w:rPr>
              <w:rFonts w:cstheme="minorHAnsi"/>
              <w:color w:val="222222"/>
              <w:shd w:val="clear" w:color="auto" w:fill="FFFFFF"/>
            </w:rPr>
            <w:t xml:space="preserve">Pearson, C. R., Kaysen, D., Belcourt, A., Stappenbeck, C. A., Zhou, C., </w:t>
          </w:r>
          <w:proofErr w:type="spellStart"/>
          <w:r w:rsidRPr="00AD4AB8">
            <w:rPr>
              <w:rFonts w:cstheme="minorHAnsi"/>
              <w:color w:val="222222"/>
              <w:shd w:val="clear" w:color="auto" w:fill="FFFFFF"/>
            </w:rPr>
            <w:t>Smartlowit</w:t>
          </w:r>
          <w:proofErr w:type="spellEnd"/>
          <w:r w:rsidRPr="00AD4AB8">
            <w:rPr>
              <w:rFonts w:cstheme="minorHAnsi"/>
              <w:color w:val="222222"/>
              <w:shd w:val="clear" w:color="auto" w:fill="FFFFFF"/>
            </w:rPr>
            <w:t>-Briggs, M. L., &amp; Whitefoot, M. P. (2015). Post-traumatic stress disorder and HIV risk behaviors among rural American Indian/Alaska Native women. </w:t>
          </w:r>
          <w:r w:rsidRPr="00AD4AB8">
            <w:rPr>
              <w:rFonts w:cstheme="minorHAnsi"/>
              <w:i/>
              <w:iCs/>
              <w:color w:val="222222"/>
              <w:shd w:val="clear" w:color="auto" w:fill="FFFFFF"/>
            </w:rPr>
            <w:t>American Indian and Alaska native mental health research (Online)</w:t>
          </w:r>
          <w:r w:rsidRPr="00AD4AB8">
            <w:rPr>
              <w:rFonts w:cstheme="minorHAnsi"/>
              <w:color w:val="222222"/>
              <w:shd w:val="clear" w:color="auto" w:fill="FFFFFF"/>
            </w:rPr>
            <w:t>, </w:t>
          </w:r>
          <w:r w:rsidRPr="00AD4AB8">
            <w:rPr>
              <w:rFonts w:cstheme="minorHAnsi"/>
              <w:i/>
              <w:iCs/>
              <w:color w:val="222222"/>
              <w:shd w:val="clear" w:color="auto" w:fill="FFFFFF"/>
            </w:rPr>
            <w:t>22</w:t>
          </w:r>
          <w:r w:rsidRPr="00AD4AB8">
            <w:rPr>
              <w:rFonts w:cstheme="minorHAnsi"/>
              <w:color w:val="222222"/>
              <w:shd w:val="clear" w:color="auto" w:fill="FFFFFF"/>
            </w:rPr>
            <w:t>(3), 1.</w:t>
          </w:r>
          <w:r w:rsidRPr="00AD4AB8">
            <w:rPr>
              <w:rFonts w:cstheme="minorHAnsi"/>
              <w:color w:val="000000"/>
              <w:kern w:val="0"/>
            </w:rPr>
            <w:t xml:space="preserve"> </w:t>
          </w:r>
        </w:p>
        <w:p w14:paraId="73A3BF50" w14:textId="4A2F6192" w:rsidR="00C43726" w:rsidRPr="00AD4AB8" w:rsidRDefault="00C43726" w:rsidP="004731A2">
          <w:pPr>
            <w:autoSpaceDE w:val="0"/>
            <w:autoSpaceDN w:val="0"/>
            <w:adjustRightInd w:val="0"/>
            <w:ind w:left="720" w:hanging="720"/>
            <w:contextualSpacing/>
            <w:rPr>
              <w:rFonts w:cstheme="minorHAnsi"/>
              <w:color w:val="000000"/>
              <w:kern w:val="0"/>
            </w:rPr>
          </w:pPr>
          <w:r w:rsidRPr="00AD4AB8">
            <w:rPr>
              <w:rFonts w:cstheme="minorHAnsi"/>
              <w:color w:val="000000"/>
              <w:kern w:val="0"/>
            </w:rPr>
            <w:t xml:space="preserve">Pruden, H., &amp; Salway, T. (2020). “What and Who is Two-Spirit” in Health Research. </w:t>
          </w:r>
          <w:r w:rsidRPr="00AD4AB8">
            <w:rPr>
              <w:rFonts w:cstheme="minorHAnsi"/>
              <w:i/>
              <w:iCs/>
              <w:color w:val="000000"/>
              <w:kern w:val="0"/>
            </w:rPr>
            <w:t>Meet the Methods Series</w:t>
          </w:r>
          <w:r w:rsidRPr="00AD4AB8">
            <w:rPr>
              <w:rFonts w:cstheme="minorHAnsi"/>
              <w:color w:val="000000"/>
              <w:kern w:val="0"/>
            </w:rPr>
            <w:t xml:space="preserve">, Canadian Institute for Health Research (2). </w:t>
          </w:r>
          <w:hyperlink r:id="rId25" w:history="1">
            <w:r w:rsidRPr="00AD4AB8">
              <w:rPr>
                <w:rStyle w:val="Hyperlink"/>
                <w:rFonts w:cstheme="minorHAnsi"/>
                <w:kern w:val="0"/>
              </w:rPr>
              <w:t>https://cihr-irsc.gc.ca/e/documents/igh_two_spirit-en.pdf</w:t>
            </w:r>
          </w:hyperlink>
          <w:r w:rsidRPr="00AD4AB8">
            <w:rPr>
              <w:rFonts w:cstheme="minorHAnsi"/>
              <w:color w:val="000000"/>
              <w:kern w:val="0"/>
            </w:rPr>
            <w:t xml:space="preserve"> </w:t>
          </w:r>
        </w:p>
        <w:p w14:paraId="63CD4E1D" w14:textId="5D2F1E21" w:rsidR="00A60F4D" w:rsidRPr="00AD4AB8" w:rsidRDefault="00A60F4D" w:rsidP="6E997885">
          <w:pPr>
            <w:autoSpaceDE w:val="0"/>
            <w:autoSpaceDN w:val="0"/>
            <w:adjustRightInd w:val="0"/>
            <w:ind w:left="720" w:right="-720" w:hanging="720"/>
            <w:contextualSpacing/>
            <w:rPr>
              <w:color w:val="000000"/>
              <w:kern w:val="0"/>
            </w:rPr>
          </w:pPr>
          <w:r w:rsidRPr="6E997885">
            <w:rPr>
              <w:color w:val="000000"/>
              <w:kern w:val="0"/>
            </w:rPr>
            <w:t>Pumphrey-Gordon, J. E., &amp; Gross, A. M. (2007). Alcohol consumption and females’ recognition in response to date rape risk: The role of sex-related alcohol expectancies. </w:t>
          </w:r>
          <w:r w:rsidRPr="6E997885">
            <w:rPr>
              <w:i/>
              <w:iCs/>
              <w:color w:val="000000"/>
              <w:kern w:val="0"/>
            </w:rPr>
            <w:t>Journal of Family Violence</w:t>
          </w:r>
          <w:r w:rsidRPr="6E997885">
            <w:rPr>
              <w:color w:val="000000"/>
              <w:kern w:val="0"/>
            </w:rPr>
            <w:t>, </w:t>
          </w:r>
          <w:r w:rsidRPr="6E997885">
            <w:rPr>
              <w:i/>
              <w:iCs/>
              <w:color w:val="000000"/>
              <w:kern w:val="0"/>
            </w:rPr>
            <w:t>22</w:t>
          </w:r>
          <w:r w:rsidRPr="6E997885">
            <w:rPr>
              <w:color w:val="000000"/>
              <w:kern w:val="0"/>
            </w:rPr>
            <w:t>(6), 475-485.</w:t>
          </w:r>
        </w:p>
        <w:p w14:paraId="573A94C2" w14:textId="383028E8" w:rsidR="6E997885" w:rsidRDefault="6E997885" w:rsidP="6E997885">
          <w:pPr>
            <w:ind w:left="720" w:right="-720" w:hanging="720"/>
            <w:contextualSpacing/>
            <w:rPr>
              <w:color w:val="000000" w:themeColor="text2"/>
            </w:rPr>
          </w:pPr>
          <w:r w:rsidRPr="6E997885">
            <w:rPr>
              <w:color w:val="000000" w:themeColor="text2"/>
            </w:rPr>
            <w:t xml:space="preserve">Richer, A. M. S., &amp; Roddy, A. L. (2023). Culturally tailored substance </w:t>
          </w:r>
          <w:proofErr w:type="gramStart"/>
          <w:r w:rsidRPr="6E997885">
            <w:rPr>
              <w:color w:val="000000" w:themeColor="text2"/>
            </w:rPr>
            <w:t>use</w:t>
          </w:r>
          <w:proofErr w:type="gramEnd"/>
          <w:r w:rsidRPr="6E997885">
            <w:rPr>
              <w:color w:val="000000" w:themeColor="text2"/>
            </w:rPr>
            <w:t xml:space="preserve"> interventions for Indigenous people of North America: A systematic review. </w:t>
          </w:r>
          <w:r w:rsidRPr="6E997885">
            <w:rPr>
              <w:i/>
              <w:iCs/>
              <w:color w:val="000000" w:themeColor="text2"/>
            </w:rPr>
            <w:t>The Journal of Mental Health Training, Education and Practice, 18</w:t>
          </w:r>
          <w:r w:rsidRPr="6E997885">
            <w:rPr>
              <w:color w:val="000000" w:themeColor="text2"/>
            </w:rPr>
            <w:t xml:space="preserve">(1), 60–77. </w:t>
          </w:r>
          <w:hyperlink r:id="rId26">
            <w:r w:rsidRPr="6E997885">
              <w:rPr>
                <w:rStyle w:val="Hyperlink"/>
              </w:rPr>
              <w:t>https://doi.org/10.1108/JMHTEP-07-2021-0088</w:t>
            </w:r>
          </w:hyperlink>
          <w:r w:rsidRPr="6E997885">
            <w:rPr>
              <w:color w:val="000000" w:themeColor="text2"/>
            </w:rPr>
            <w:t xml:space="preserve"> </w:t>
          </w:r>
        </w:p>
        <w:p w14:paraId="52636477" w14:textId="77777777" w:rsidR="00C35C42" w:rsidRPr="00AD4AB8" w:rsidRDefault="00C35C42" w:rsidP="00C35C42">
          <w:pPr>
            <w:pStyle w:val="Bibliography"/>
            <w:rPr>
              <w:rFonts w:cstheme="minorHAnsi"/>
            </w:rPr>
          </w:pPr>
          <w:r w:rsidRPr="00AD4AB8">
            <w:rPr>
              <w:rFonts w:cstheme="minorHAnsi"/>
            </w:rPr>
            <w:t xml:space="preserve">Rosay, A. B. (2016). </w:t>
          </w:r>
          <w:r w:rsidRPr="00AD4AB8">
            <w:rPr>
              <w:rFonts w:cstheme="minorHAnsi"/>
              <w:i/>
              <w:iCs/>
            </w:rPr>
            <w:t xml:space="preserve">Violence against American Indian and Alaska Native Women and Men: 2010 Findings from the National Intimate Partner and Sexual Violence Survey Item Type </w:t>
          </w:r>
          <w:r w:rsidRPr="00AD4AB8">
            <w:rPr>
              <w:rFonts w:cstheme="minorHAnsi"/>
              <w:i/>
              <w:iCs/>
            </w:rPr>
            <w:lastRenderedPageBreak/>
            <w:t>Report</w:t>
          </w:r>
          <w:r w:rsidRPr="00AD4AB8">
            <w:rPr>
              <w:rFonts w:cstheme="minorHAnsi"/>
            </w:rPr>
            <w:t>. U.S. Department of Justice, National Institute of Justice. http://hdl.handle.net/11122/7025</w:t>
          </w:r>
        </w:p>
        <w:p w14:paraId="4A121175" w14:textId="1DA3043C" w:rsidR="00C35C42" w:rsidRPr="00AD4AB8" w:rsidRDefault="00C35C42" w:rsidP="00C35C42">
          <w:pPr>
            <w:pStyle w:val="Bibliography"/>
            <w:rPr>
              <w:rFonts w:cstheme="minorHAnsi"/>
            </w:rPr>
          </w:pPr>
          <w:r w:rsidRPr="00AD4AB8">
            <w:rPr>
              <w:rFonts w:cstheme="minorHAnsi"/>
            </w:rPr>
            <w:t xml:space="preserve">Sekhon, M., Cartwright, M., &amp; Francis, J. J. (2017). Acceptability of healthcare interventions: An overview of reviews and development of a theoretical framework. </w:t>
          </w:r>
          <w:r w:rsidRPr="00AD4AB8">
            <w:rPr>
              <w:rFonts w:cstheme="minorHAnsi"/>
              <w:i/>
              <w:iCs/>
            </w:rPr>
            <w:t>BMC Health Services Research</w:t>
          </w:r>
          <w:r w:rsidRPr="00AD4AB8">
            <w:rPr>
              <w:rFonts w:cstheme="minorHAnsi"/>
            </w:rPr>
            <w:t xml:space="preserve">, </w:t>
          </w:r>
          <w:r w:rsidRPr="00AD4AB8">
            <w:rPr>
              <w:rFonts w:cstheme="minorHAnsi"/>
              <w:i/>
              <w:iCs/>
            </w:rPr>
            <w:t>17</w:t>
          </w:r>
          <w:r w:rsidRPr="00AD4AB8">
            <w:rPr>
              <w:rFonts w:cstheme="minorHAnsi"/>
            </w:rPr>
            <w:t>(1), 88–88. https://doi.org/10.1186/s12913-017-2031-8</w:t>
          </w:r>
        </w:p>
        <w:p w14:paraId="43EBB275" w14:textId="77777777" w:rsidR="00C1775A" w:rsidRDefault="00C35C42" w:rsidP="00C35C42">
          <w:pPr>
            <w:pStyle w:val="Bibliography"/>
            <w:rPr>
              <w:rFonts w:cstheme="minorHAnsi"/>
            </w:rPr>
          </w:pPr>
          <w:r w:rsidRPr="00AD4AB8">
            <w:rPr>
              <w:rFonts w:cstheme="minorHAnsi"/>
            </w:rPr>
            <w:t xml:space="preserve">Senn, C. Y., </w:t>
          </w:r>
          <w:proofErr w:type="spellStart"/>
          <w:r w:rsidRPr="00AD4AB8">
            <w:rPr>
              <w:rFonts w:cstheme="minorHAnsi"/>
            </w:rPr>
            <w:t>Eliasziw</w:t>
          </w:r>
          <w:proofErr w:type="spellEnd"/>
          <w:r w:rsidRPr="00AD4AB8">
            <w:rPr>
              <w:rFonts w:cstheme="minorHAnsi"/>
            </w:rPr>
            <w:t xml:space="preserve">, M., Barata, P. C., Thurston, W. E., Newby-Clark, I. R., Radtke, H. L., &amp; Hobden, K. L. (2015). Efficacy of a sexual assault resistance program for university women. </w:t>
          </w:r>
          <w:r w:rsidRPr="00AD4AB8">
            <w:rPr>
              <w:rFonts w:cstheme="minorHAnsi"/>
              <w:i/>
              <w:iCs/>
            </w:rPr>
            <w:t>The New England Journal of Medicine</w:t>
          </w:r>
          <w:r w:rsidRPr="00AD4AB8">
            <w:rPr>
              <w:rFonts w:cstheme="minorHAnsi"/>
            </w:rPr>
            <w:t xml:space="preserve">, </w:t>
          </w:r>
          <w:r w:rsidRPr="00AD4AB8">
            <w:rPr>
              <w:rFonts w:cstheme="minorHAnsi"/>
              <w:i/>
              <w:iCs/>
            </w:rPr>
            <w:t>372</w:t>
          </w:r>
          <w:r w:rsidRPr="00AD4AB8">
            <w:rPr>
              <w:rFonts w:cstheme="minorHAnsi"/>
            </w:rPr>
            <w:t xml:space="preserve">(24), 2326–2335. </w:t>
          </w:r>
          <w:hyperlink r:id="rId27" w:history="1">
            <w:r w:rsidR="00FA359B" w:rsidRPr="00E92327">
              <w:rPr>
                <w:rStyle w:val="Hyperlink"/>
                <w:rFonts w:cstheme="minorHAnsi"/>
              </w:rPr>
              <w:t>https://doi.org/10.1056/NEJMsa1411131</w:t>
            </w:r>
          </w:hyperlink>
        </w:p>
        <w:p w14:paraId="237AAB04" w14:textId="532EC295" w:rsidR="00C35C42" w:rsidRPr="00AD4AB8" w:rsidRDefault="00C35C42" w:rsidP="00C35C42">
          <w:pPr>
            <w:pStyle w:val="Bibliography"/>
            <w:rPr>
              <w:rFonts w:cstheme="minorHAnsi"/>
            </w:rPr>
          </w:pPr>
          <w:r w:rsidRPr="00AD4AB8">
            <w:rPr>
              <w:rFonts w:cstheme="minorHAnsi"/>
            </w:rPr>
            <w:t xml:space="preserve">Spikes, C., &amp; </w:t>
          </w:r>
          <w:proofErr w:type="spellStart"/>
          <w:r w:rsidRPr="00AD4AB8">
            <w:rPr>
              <w:rFonts w:cstheme="minorHAnsi"/>
            </w:rPr>
            <w:t>Sternadori</w:t>
          </w:r>
          <w:proofErr w:type="spellEnd"/>
          <w:r w:rsidRPr="00AD4AB8">
            <w:rPr>
              <w:rFonts w:cstheme="minorHAnsi"/>
            </w:rPr>
            <w:t xml:space="preserve">, M. (2018). Boomerang Effects of Sexual-Violence Prevention Messages on College Men’s Attitudes. </w:t>
          </w:r>
          <w:r w:rsidRPr="00AD4AB8">
            <w:rPr>
              <w:rFonts w:cstheme="minorHAnsi"/>
              <w:i/>
              <w:iCs/>
            </w:rPr>
            <w:t>Building Healthy Academic Communities Journal</w:t>
          </w:r>
          <w:r w:rsidRPr="00AD4AB8">
            <w:rPr>
              <w:rFonts w:cstheme="minorHAnsi"/>
            </w:rPr>
            <w:t xml:space="preserve">, </w:t>
          </w:r>
          <w:r w:rsidRPr="00AD4AB8">
            <w:rPr>
              <w:rFonts w:cstheme="minorHAnsi"/>
              <w:i/>
              <w:iCs/>
            </w:rPr>
            <w:t>2</w:t>
          </w:r>
          <w:r w:rsidRPr="00AD4AB8">
            <w:rPr>
              <w:rFonts w:cstheme="minorHAnsi"/>
            </w:rPr>
            <w:t>(2), 45–45. https://doi.org/10.18061/bhac.v2i2.6583</w:t>
          </w:r>
        </w:p>
        <w:p w14:paraId="724C8ED9" w14:textId="77777777" w:rsidR="00623A84" w:rsidRPr="00AD4AB8" w:rsidRDefault="00623A84" w:rsidP="000A0E89">
          <w:pPr>
            <w:pStyle w:val="Bibliography"/>
            <w:rPr>
              <w:rFonts w:cstheme="minorHAnsi"/>
              <w:color w:val="000000"/>
            </w:rPr>
          </w:pPr>
          <w:r w:rsidRPr="00AD4AB8">
            <w:rPr>
              <w:rFonts w:cstheme="minorHAnsi"/>
              <w:color w:val="000000"/>
            </w:rPr>
            <w:t xml:space="preserve">Tercek, K. (2019). </w:t>
          </w:r>
          <w:r w:rsidRPr="00AD4AB8">
            <w:rPr>
              <w:rFonts w:cstheme="minorHAnsi"/>
              <w:i/>
              <w:iCs/>
              <w:color w:val="000000"/>
            </w:rPr>
            <w:t>Women learn self-defense tactics to face MMIW issue</w:t>
          </w:r>
          <w:r w:rsidRPr="00AD4AB8">
            <w:rPr>
              <w:rFonts w:cstheme="minorHAnsi"/>
              <w:color w:val="000000"/>
            </w:rPr>
            <w:t xml:space="preserve">. ABC FOX Montana. https://www.montanarightnow.com/great-falls/women-learn-self-defense-tactics-to-face-mmiw-issue/article_3453c76a-5aba-11e9-a734-4fcadd859718.html </w:t>
          </w:r>
        </w:p>
        <w:p w14:paraId="66BC5664" w14:textId="3A80C913" w:rsidR="002D0971" w:rsidRPr="00AD4AB8" w:rsidRDefault="002D0971" w:rsidP="000A0E89">
          <w:pPr>
            <w:pStyle w:val="Bibliography"/>
            <w:rPr>
              <w:rFonts w:cstheme="minorHAnsi"/>
              <w:color w:val="222222"/>
              <w:shd w:val="clear" w:color="auto" w:fill="FFFFFF"/>
            </w:rPr>
          </w:pPr>
          <w:r w:rsidRPr="00AD4AB8">
            <w:rPr>
              <w:rFonts w:cstheme="minorHAnsi"/>
              <w:color w:val="222222"/>
              <w:shd w:val="clear" w:color="auto" w:fill="FFFFFF"/>
            </w:rPr>
            <w:t>Walker, G. S. (2010). The evolution and limits of Title IX doctrine on peer sexual assault. </w:t>
          </w:r>
          <w:r w:rsidRPr="00AD4AB8">
            <w:rPr>
              <w:rFonts w:cstheme="minorHAnsi"/>
              <w:i/>
              <w:iCs/>
              <w:color w:val="222222"/>
              <w:shd w:val="clear" w:color="auto" w:fill="FFFFFF"/>
            </w:rPr>
            <w:t>Harvard Civil Rights-Civil Liberties Law Review</w:t>
          </w:r>
          <w:r w:rsidRPr="00AD4AB8">
            <w:rPr>
              <w:rFonts w:cstheme="minorHAnsi"/>
              <w:color w:val="222222"/>
              <w:shd w:val="clear" w:color="auto" w:fill="FFFFFF"/>
            </w:rPr>
            <w:t>, </w:t>
          </w:r>
          <w:r w:rsidRPr="00AD4AB8">
            <w:rPr>
              <w:rFonts w:cstheme="minorHAnsi"/>
              <w:i/>
              <w:iCs/>
              <w:color w:val="222222"/>
              <w:shd w:val="clear" w:color="auto" w:fill="FFFFFF"/>
            </w:rPr>
            <w:t>45</w:t>
          </w:r>
          <w:r w:rsidRPr="00AD4AB8">
            <w:rPr>
              <w:rFonts w:cstheme="minorHAnsi"/>
              <w:color w:val="222222"/>
              <w:shd w:val="clear" w:color="auto" w:fill="FFFFFF"/>
            </w:rPr>
            <w:t>, 95-134.</w:t>
          </w:r>
        </w:p>
        <w:p w14:paraId="7ECB6451" w14:textId="35570735" w:rsidR="00623A84" w:rsidRPr="00AD4AB8" w:rsidRDefault="00623A84" w:rsidP="000A0E89">
          <w:pPr>
            <w:pStyle w:val="Bibliography"/>
            <w:rPr>
              <w:rFonts w:cstheme="minorHAnsi"/>
              <w:color w:val="000000"/>
            </w:rPr>
          </w:pPr>
          <w:r w:rsidRPr="00AD4AB8">
            <w:rPr>
              <w:rFonts w:cstheme="minorHAnsi"/>
              <w:color w:val="000000"/>
            </w:rPr>
            <w:t xml:space="preserve">Walters, Q. (2020). </w:t>
          </w:r>
          <w:r w:rsidRPr="00AD4AB8">
            <w:rPr>
              <w:rFonts w:cstheme="minorHAnsi"/>
              <w:i/>
              <w:iCs/>
              <w:color w:val="000000"/>
            </w:rPr>
            <w:t>Self-defense classes help indigenous women face kidnapping threat</w:t>
          </w:r>
          <w:r w:rsidRPr="00AD4AB8">
            <w:rPr>
              <w:rFonts w:cstheme="minorHAnsi"/>
              <w:color w:val="000000"/>
            </w:rPr>
            <w:t xml:space="preserve">. NPR. https://www.npr.org/2020/01/28/800559379/self-defense-classes-help-indigenous-women-face-kidnapping-threat </w:t>
          </w:r>
        </w:p>
        <w:p w14:paraId="2AF7CC3F" w14:textId="7DA2DC49" w:rsidR="00E81978" w:rsidRDefault="00000000" w:rsidP="000A0E89">
          <w:pPr>
            <w:pStyle w:val="Bibliography"/>
          </w:pPr>
        </w:p>
      </w:sdtContent>
    </w:sdt>
    <w:p w14:paraId="5CFFA827" w14:textId="77777777" w:rsidR="008A5AAE" w:rsidRDefault="008A5AAE" w:rsidP="008A5AAE"/>
    <w:p w14:paraId="53B328A3" w14:textId="77777777" w:rsidR="008A5AAE" w:rsidRDefault="008A5AAE" w:rsidP="008A5AAE"/>
    <w:p w14:paraId="47377278" w14:textId="77777777" w:rsidR="008A5AAE" w:rsidRDefault="008A5AAE" w:rsidP="008A5AAE">
      <w:pPr>
        <w:jc w:val="center"/>
        <w:rPr>
          <w:rFonts w:ascii="Times New Roman" w:hAnsi="Times New Roman" w:cs="Times New Roman"/>
          <w:b/>
          <w:bCs/>
        </w:rPr>
      </w:pPr>
      <w:r>
        <w:rPr>
          <w:rFonts w:ascii="Times New Roman" w:hAnsi="Times New Roman" w:cs="Times New Roman"/>
          <w:b/>
          <w:bCs/>
        </w:rPr>
        <w:lastRenderedPageBreak/>
        <w:t>Tables</w:t>
      </w:r>
    </w:p>
    <w:tbl>
      <w:tblPr>
        <w:tblStyle w:val="APAReport"/>
        <w:tblW w:w="10540" w:type="dxa"/>
        <w:tblLook w:val="04A0" w:firstRow="1" w:lastRow="0" w:firstColumn="1" w:lastColumn="0" w:noHBand="0" w:noVBand="1"/>
      </w:tblPr>
      <w:tblGrid>
        <w:gridCol w:w="2808"/>
        <w:gridCol w:w="1610"/>
        <w:gridCol w:w="2080"/>
        <w:gridCol w:w="1980"/>
        <w:gridCol w:w="2062"/>
      </w:tblGrid>
      <w:tr w:rsidR="008A5AAE" w:rsidRPr="00CF5485" w14:paraId="5C9C94F4" w14:textId="77777777" w:rsidTr="00D64642">
        <w:trPr>
          <w:cnfStyle w:val="100000000000" w:firstRow="1" w:lastRow="0" w:firstColumn="0" w:lastColumn="0" w:oddVBand="0" w:evenVBand="0" w:oddHBand="0" w:evenHBand="0" w:firstRowFirstColumn="0" w:firstRowLastColumn="0" w:lastRowFirstColumn="0" w:lastRowLastColumn="0"/>
          <w:trHeight w:val="541"/>
        </w:trPr>
        <w:tc>
          <w:tcPr>
            <w:tcW w:w="10539" w:type="dxa"/>
            <w:gridSpan w:val="5"/>
            <w:tcBorders>
              <w:top w:val="single" w:sz="4" w:space="0" w:color="FFFFFF"/>
            </w:tcBorders>
          </w:tcPr>
          <w:p w14:paraId="352F4F3E" w14:textId="77777777" w:rsidR="008A5AAE" w:rsidRPr="00CF5485" w:rsidRDefault="008A5AAE" w:rsidP="00D64642">
            <w:pPr>
              <w:rPr>
                <w:rFonts w:cs="Times New Roman"/>
              </w:rPr>
            </w:pPr>
            <w:r w:rsidRPr="00CF5485">
              <w:rPr>
                <w:rFonts w:cs="Times New Roman"/>
              </w:rPr>
              <w:t xml:space="preserve">Table 1 </w:t>
            </w:r>
          </w:p>
          <w:p w14:paraId="72FFDBB5" w14:textId="77777777" w:rsidR="008A5AAE" w:rsidRPr="00CF5485" w:rsidRDefault="008A5AAE" w:rsidP="00D64642">
            <w:pPr>
              <w:rPr>
                <w:rFonts w:cs="Times New Roman"/>
              </w:rPr>
            </w:pPr>
            <w:r w:rsidRPr="00CF5485">
              <w:rPr>
                <w:rFonts w:cs="Times New Roman"/>
              </w:rPr>
              <w:t>Acceptability of Each Intervention</w:t>
            </w:r>
          </w:p>
        </w:tc>
      </w:tr>
      <w:tr w:rsidR="008A5AAE" w:rsidRPr="00CF5485" w14:paraId="580858FB" w14:textId="77777777" w:rsidTr="00D64642">
        <w:trPr>
          <w:trHeight w:val="286"/>
        </w:trPr>
        <w:tc>
          <w:tcPr>
            <w:tcW w:w="2808" w:type="dxa"/>
          </w:tcPr>
          <w:p w14:paraId="7E0B4B8C" w14:textId="77777777" w:rsidR="008A5AAE" w:rsidRPr="00CF5485" w:rsidRDefault="008A5AAE" w:rsidP="00D64642">
            <w:pPr>
              <w:rPr>
                <w:rFonts w:ascii="Times New Roman" w:hAnsi="Times New Roman" w:cs="Times New Roman"/>
              </w:rPr>
            </w:pPr>
          </w:p>
        </w:tc>
        <w:tc>
          <w:tcPr>
            <w:tcW w:w="1610" w:type="dxa"/>
          </w:tcPr>
          <w:p w14:paraId="125E442E" w14:textId="77777777" w:rsidR="008A5AAE" w:rsidRPr="00CF5485" w:rsidRDefault="008A5AAE" w:rsidP="00D64642">
            <w:pPr>
              <w:rPr>
                <w:rFonts w:ascii="Times New Roman" w:hAnsi="Times New Roman" w:cs="Times New Roman"/>
              </w:rPr>
            </w:pPr>
            <w:r w:rsidRPr="00CF5485">
              <w:rPr>
                <w:rFonts w:ascii="Times New Roman" w:hAnsi="Times New Roman" w:cs="Times New Roman"/>
              </w:rPr>
              <w:t>FTS, n = 401</w:t>
            </w:r>
          </w:p>
        </w:tc>
        <w:tc>
          <w:tcPr>
            <w:tcW w:w="2080" w:type="dxa"/>
          </w:tcPr>
          <w:p w14:paraId="456A582D" w14:textId="77777777" w:rsidR="008A5AAE" w:rsidRPr="00CF5485" w:rsidRDefault="008A5AAE" w:rsidP="00D64642">
            <w:pPr>
              <w:rPr>
                <w:rFonts w:ascii="Times New Roman" w:hAnsi="Times New Roman" w:cs="Times New Roman"/>
              </w:rPr>
            </w:pPr>
            <w:r w:rsidRPr="00CF5485">
              <w:rPr>
                <w:rFonts w:ascii="Times New Roman" w:hAnsi="Times New Roman" w:cs="Times New Roman"/>
              </w:rPr>
              <w:t>BITB</w:t>
            </w:r>
          </w:p>
        </w:tc>
        <w:tc>
          <w:tcPr>
            <w:tcW w:w="1980" w:type="dxa"/>
          </w:tcPr>
          <w:p w14:paraId="1BC58A6B" w14:textId="77777777" w:rsidR="008A5AAE" w:rsidRPr="00CF5485" w:rsidRDefault="008A5AAE" w:rsidP="00D64642">
            <w:pPr>
              <w:rPr>
                <w:rFonts w:ascii="Times New Roman" w:hAnsi="Times New Roman" w:cs="Times New Roman"/>
              </w:rPr>
            </w:pPr>
            <w:r w:rsidRPr="00CF5485">
              <w:rPr>
                <w:rFonts w:ascii="Times New Roman" w:hAnsi="Times New Roman" w:cs="Times New Roman"/>
              </w:rPr>
              <w:t>BDI</w:t>
            </w:r>
          </w:p>
        </w:tc>
        <w:tc>
          <w:tcPr>
            <w:tcW w:w="2062" w:type="dxa"/>
          </w:tcPr>
          <w:p w14:paraId="045BFD12" w14:textId="77777777" w:rsidR="008A5AAE" w:rsidRPr="00CF5485" w:rsidRDefault="008A5AAE" w:rsidP="00D64642">
            <w:pPr>
              <w:rPr>
                <w:rFonts w:ascii="Times New Roman" w:hAnsi="Times New Roman" w:cs="Times New Roman"/>
              </w:rPr>
            </w:pPr>
            <w:r w:rsidRPr="00CF5485">
              <w:rPr>
                <w:rFonts w:ascii="Times New Roman" w:hAnsi="Times New Roman" w:cs="Times New Roman"/>
              </w:rPr>
              <w:t>SAARR</w:t>
            </w:r>
          </w:p>
        </w:tc>
      </w:tr>
      <w:tr w:rsidR="008A5AAE" w:rsidRPr="00CF5485" w14:paraId="33B1D42E" w14:textId="77777777" w:rsidTr="00D64642">
        <w:trPr>
          <w:trHeight w:val="270"/>
        </w:trPr>
        <w:tc>
          <w:tcPr>
            <w:tcW w:w="2808" w:type="dxa"/>
          </w:tcPr>
          <w:p w14:paraId="534A6CEC" w14:textId="77777777" w:rsidR="008A5AAE" w:rsidRPr="00CF5485" w:rsidRDefault="008A5AAE" w:rsidP="00D64642">
            <w:pPr>
              <w:rPr>
                <w:rFonts w:ascii="Times New Roman" w:hAnsi="Times New Roman" w:cs="Times New Roman"/>
              </w:rPr>
            </w:pPr>
            <w:r w:rsidRPr="00CF5485">
              <w:rPr>
                <w:rFonts w:ascii="Times New Roman" w:hAnsi="Times New Roman" w:cs="Times New Roman"/>
              </w:rPr>
              <w:t>% Ranked 1</w:t>
            </w:r>
          </w:p>
        </w:tc>
        <w:tc>
          <w:tcPr>
            <w:tcW w:w="1610" w:type="dxa"/>
          </w:tcPr>
          <w:p w14:paraId="69418E78" w14:textId="77777777" w:rsidR="008A5AAE" w:rsidRPr="00CF5485" w:rsidRDefault="008A5AAE" w:rsidP="00D64642">
            <w:pPr>
              <w:rPr>
                <w:rFonts w:ascii="Times New Roman" w:hAnsi="Times New Roman" w:cs="Times New Roman"/>
              </w:rPr>
            </w:pPr>
            <w:r w:rsidRPr="00CF5485">
              <w:rPr>
                <w:rFonts w:ascii="Times New Roman" w:hAnsi="Times New Roman" w:cs="Times New Roman"/>
              </w:rPr>
              <w:t>16.7</w:t>
            </w:r>
            <w:r w:rsidRPr="00CF5485">
              <w:rPr>
                <w:rFonts w:ascii="Times New Roman" w:hAnsi="Times New Roman" w:cs="Times New Roman"/>
                <w:vertAlign w:val="superscript"/>
              </w:rPr>
              <w:t>a</w:t>
            </w:r>
          </w:p>
        </w:tc>
        <w:tc>
          <w:tcPr>
            <w:tcW w:w="2080" w:type="dxa"/>
          </w:tcPr>
          <w:p w14:paraId="130391A6" w14:textId="77777777" w:rsidR="008A5AAE" w:rsidRPr="00CF5485" w:rsidRDefault="008A5AAE" w:rsidP="00D64642">
            <w:pPr>
              <w:rPr>
                <w:rFonts w:ascii="Times New Roman" w:hAnsi="Times New Roman" w:cs="Times New Roman"/>
              </w:rPr>
            </w:pPr>
            <w:r w:rsidRPr="00CF5485">
              <w:rPr>
                <w:rFonts w:ascii="Times New Roman" w:hAnsi="Times New Roman" w:cs="Times New Roman"/>
              </w:rPr>
              <w:t>26.2</w:t>
            </w:r>
            <w:r w:rsidRPr="00CF5485">
              <w:rPr>
                <w:rFonts w:ascii="Times New Roman" w:hAnsi="Times New Roman" w:cs="Times New Roman"/>
                <w:vertAlign w:val="superscript"/>
              </w:rPr>
              <w:t xml:space="preserve"> a, n = 105</w:t>
            </w:r>
          </w:p>
        </w:tc>
        <w:tc>
          <w:tcPr>
            <w:tcW w:w="1980" w:type="dxa"/>
          </w:tcPr>
          <w:p w14:paraId="0AF7510B" w14:textId="77777777" w:rsidR="008A5AAE" w:rsidRPr="00CF5485" w:rsidRDefault="008A5AAE" w:rsidP="00D64642">
            <w:pPr>
              <w:rPr>
                <w:rFonts w:ascii="Times New Roman" w:hAnsi="Times New Roman" w:cs="Times New Roman"/>
              </w:rPr>
            </w:pPr>
            <w:r w:rsidRPr="00CF5485">
              <w:rPr>
                <w:rFonts w:ascii="Times New Roman" w:hAnsi="Times New Roman" w:cs="Times New Roman"/>
              </w:rPr>
              <w:t>20.9</w:t>
            </w:r>
            <w:r w:rsidRPr="00CF5485">
              <w:rPr>
                <w:rFonts w:ascii="Times New Roman" w:hAnsi="Times New Roman" w:cs="Times New Roman"/>
                <w:vertAlign w:val="superscript"/>
              </w:rPr>
              <w:t xml:space="preserve"> a, n = 84</w:t>
            </w:r>
          </w:p>
        </w:tc>
        <w:tc>
          <w:tcPr>
            <w:tcW w:w="2062" w:type="dxa"/>
          </w:tcPr>
          <w:p w14:paraId="4CECCE44" w14:textId="77777777" w:rsidR="008A5AAE" w:rsidRPr="00CF5485" w:rsidRDefault="008A5AAE" w:rsidP="00D64642">
            <w:pPr>
              <w:rPr>
                <w:rFonts w:ascii="Times New Roman" w:hAnsi="Times New Roman" w:cs="Times New Roman"/>
              </w:rPr>
            </w:pPr>
            <w:r w:rsidRPr="00CF5485">
              <w:rPr>
                <w:rFonts w:ascii="Times New Roman" w:hAnsi="Times New Roman" w:cs="Times New Roman"/>
              </w:rPr>
              <w:t>36.2</w:t>
            </w:r>
            <w:r w:rsidRPr="00CF5485">
              <w:rPr>
                <w:rFonts w:ascii="Times New Roman" w:hAnsi="Times New Roman" w:cs="Times New Roman"/>
                <w:vertAlign w:val="superscript"/>
              </w:rPr>
              <w:t>b, n = 145</w:t>
            </w:r>
          </w:p>
        </w:tc>
      </w:tr>
      <w:tr w:rsidR="008A5AAE" w:rsidRPr="00CF5485" w14:paraId="567A0C69" w14:textId="77777777" w:rsidTr="00D64642">
        <w:trPr>
          <w:trHeight w:val="286"/>
        </w:trPr>
        <w:tc>
          <w:tcPr>
            <w:tcW w:w="2808" w:type="dxa"/>
          </w:tcPr>
          <w:p w14:paraId="4825BB82" w14:textId="77777777" w:rsidR="008A5AAE" w:rsidRPr="00CF5485" w:rsidRDefault="008A5AAE" w:rsidP="00D64642">
            <w:pPr>
              <w:rPr>
                <w:rFonts w:ascii="Times New Roman" w:hAnsi="Times New Roman" w:cs="Times New Roman"/>
              </w:rPr>
            </w:pPr>
            <w:r w:rsidRPr="00CF5485">
              <w:rPr>
                <w:rFonts w:ascii="Times New Roman" w:hAnsi="Times New Roman" w:cs="Times New Roman"/>
              </w:rPr>
              <w:t>% Willing</w:t>
            </w:r>
          </w:p>
        </w:tc>
        <w:tc>
          <w:tcPr>
            <w:tcW w:w="1610" w:type="dxa"/>
          </w:tcPr>
          <w:p w14:paraId="6A97390D" w14:textId="77777777" w:rsidR="008A5AAE" w:rsidRPr="00CF5485" w:rsidRDefault="008A5AAE" w:rsidP="00D64642">
            <w:pPr>
              <w:rPr>
                <w:rFonts w:ascii="Times New Roman" w:hAnsi="Times New Roman" w:cs="Times New Roman"/>
              </w:rPr>
            </w:pPr>
            <w:r w:rsidRPr="00CF5485">
              <w:rPr>
                <w:rFonts w:ascii="Times New Roman" w:hAnsi="Times New Roman" w:cs="Times New Roman"/>
              </w:rPr>
              <w:t>56.6</w:t>
            </w:r>
          </w:p>
        </w:tc>
        <w:tc>
          <w:tcPr>
            <w:tcW w:w="2080" w:type="dxa"/>
          </w:tcPr>
          <w:p w14:paraId="467484DC" w14:textId="77777777" w:rsidR="008A5AAE" w:rsidRPr="00CF5485" w:rsidRDefault="008A5AAE" w:rsidP="00D64642">
            <w:pPr>
              <w:rPr>
                <w:rFonts w:ascii="Times New Roman" w:hAnsi="Times New Roman" w:cs="Times New Roman"/>
              </w:rPr>
            </w:pPr>
            <w:r w:rsidRPr="00CF5485">
              <w:rPr>
                <w:rFonts w:ascii="Times New Roman" w:hAnsi="Times New Roman" w:cs="Times New Roman"/>
              </w:rPr>
              <w:t>55.9</w:t>
            </w:r>
          </w:p>
        </w:tc>
        <w:tc>
          <w:tcPr>
            <w:tcW w:w="1980" w:type="dxa"/>
          </w:tcPr>
          <w:p w14:paraId="7F19BD4A" w14:textId="77777777" w:rsidR="008A5AAE" w:rsidRPr="00CF5485" w:rsidRDefault="008A5AAE" w:rsidP="00D64642">
            <w:pPr>
              <w:rPr>
                <w:rFonts w:ascii="Times New Roman" w:hAnsi="Times New Roman" w:cs="Times New Roman"/>
              </w:rPr>
            </w:pPr>
            <w:r w:rsidRPr="00CF5485">
              <w:rPr>
                <w:rFonts w:ascii="Times New Roman" w:hAnsi="Times New Roman" w:cs="Times New Roman"/>
              </w:rPr>
              <w:t>55.9</w:t>
            </w:r>
          </w:p>
        </w:tc>
        <w:tc>
          <w:tcPr>
            <w:tcW w:w="2062" w:type="dxa"/>
          </w:tcPr>
          <w:p w14:paraId="197FCA21" w14:textId="77777777" w:rsidR="008A5AAE" w:rsidRPr="00CF5485" w:rsidRDefault="008A5AAE" w:rsidP="00D64642">
            <w:pPr>
              <w:rPr>
                <w:rFonts w:ascii="Times New Roman" w:hAnsi="Times New Roman" w:cs="Times New Roman"/>
              </w:rPr>
            </w:pPr>
            <w:r w:rsidRPr="00CF5485">
              <w:rPr>
                <w:rFonts w:ascii="Times New Roman" w:hAnsi="Times New Roman" w:cs="Times New Roman"/>
              </w:rPr>
              <w:t>66.1</w:t>
            </w:r>
          </w:p>
        </w:tc>
      </w:tr>
      <w:tr w:rsidR="008A5AAE" w:rsidRPr="00CF5485" w14:paraId="33FDDCEF" w14:textId="77777777" w:rsidTr="00D64642">
        <w:trPr>
          <w:trHeight w:val="270"/>
        </w:trPr>
        <w:tc>
          <w:tcPr>
            <w:tcW w:w="2808" w:type="dxa"/>
          </w:tcPr>
          <w:p w14:paraId="233AE95E" w14:textId="77777777" w:rsidR="008A5AAE" w:rsidRPr="00CF5485" w:rsidRDefault="008A5AAE" w:rsidP="00D64642">
            <w:pPr>
              <w:rPr>
                <w:rFonts w:ascii="Times New Roman" w:hAnsi="Times New Roman" w:cs="Times New Roman"/>
              </w:rPr>
            </w:pPr>
            <w:r w:rsidRPr="00CF5485">
              <w:rPr>
                <w:rFonts w:ascii="Times New Roman" w:hAnsi="Times New Roman" w:cs="Times New Roman"/>
              </w:rPr>
              <w:t>% Not Willing</w:t>
            </w:r>
          </w:p>
        </w:tc>
        <w:tc>
          <w:tcPr>
            <w:tcW w:w="1610" w:type="dxa"/>
          </w:tcPr>
          <w:p w14:paraId="26179118" w14:textId="77777777" w:rsidR="008A5AAE" w:rsidRPr="00CF5485" w:rsidRDefault="008A5AAE" w:rsidP="00D64642">
            <w:pPr>
              <w:rPr>
                <w:rFonts w:ascii="Times New Roman" w:hAnsi="Times New Roman" w:cs="Times New Roman"/>
              </w:rPr>
            </w:pPr>
            <w:r w:rsidRPr="00CF5485">
              <w:rPr>
                <w:rFonts w:ascii="Times New Roman" w:hAnsi="Times New Roman" w:cs="Times New Roman"/>
              </w:rPr>
              <w:t>36.7</w:t>
            </w:r>
          </w:p>
        </w:tc>
        <w:tc>
          <w:tcPr>
            <w:tcW w:w="2080" w:type="dxa"/>
          </w:tcPr>
          <w:p w14:paraId="7126064E" w14:textId="77777777" w:rsidR="008A5AAE" w:rsidRPr="00CF5485" w:rsidRDefault="008A5AAE" w:rsidP="00D64642">
            <w:pPr>
              <w:rPr>
                <w:rFonts w:ascii="Times New Roman" w:hAnsi="Times New Roman" w:cs="Times New Roman"/>
              </w:rPr>
            </w:pPr>
            <w:r w:rsidRPr="00CF5485">
              <w:rPr>
                <w:rFonts w:ascii="Times New Roman" w:hAnsi="Times New Roman" w:cs="Times New Roman"/>
              </w:rPr>
              <w:t>39.2</w:t>
            </w:r>
          </w:p>
        </w:tc>
        <w:tc>
          <w:tcPr>
            <w:tcW w:w="1980" w:type="dxa"/>
          </w:tcPr>
          <w:p w14:paraId="5ACCCE34" w14:textId="77777777" w:rsidR="008A5AAE" w:rsidRPr="00CF5485" w:rsidRDefault="008A5AAE" w:rsidP="00D64642">
            <w:pPr>
              <w:rPr>
                <w:rFonts w:ascii="Times New Roman" w:hAnsi="Times New Roman" w:cs="Times New Roman"/>
              </w:rPr>
            </w:pPr>
            <w:r w:rsidRPr="00CF5485">
              <w:rPr>
                <w:rFonts w:ascii="Times New Roman" w:hAnsi="Times New Roman" w:cs="Times New Roman"/>
              </w:rPr>
              <w:t>37.2</w:t>
            </w:r>
          </w:p>
        </w:tc>
        <w:tc>
          <w:tcPr>
            <w:tcW w:w="2062" w:type="dxa"/>
          </w:tcPr>
          <w:p w14:paraId="7E0F8212" w14:textId="77777777" w:rsidR="008A5AAE" w:rsidRPr="00CF5485" w:rsidRDefault="008A5AAE" w:rsidP="00D64642">
            <w:pPr>
              <w:rPr>
                <w:rFonts w:ascii="Times New Roman" w:hAnsi="Times New Roman" w:cs="Times New Roman"/>
              </w:rPr>
            </w:pPr>
            <w:r w:rsidRPr="00CF5485">
              <w:rPr>
                <w:rFonts w:ascii="Times New Roman" w:hAnsi="Times New Roman" w:cs="Times New Roman"/>
              </w:rPr>
              <w:t>28.2</w:t>
            </w:r>
          </w:p>
        </w:tc>
      </w:tr>
      <w:tr w:rsidR="008A5AAE" w:rsidRPr="00CF5485" w14:paraId="04952637" w14:textId="77777777" w:rsidTr="00D64642">
        <w:trPr>
          <w:trHeight w:val="270"/>
        </w:trPr>
        <w:tc>
          <w:tcPr>
            <w:tcW w:w="2808" w:type="dxa"/>
          </w:tcPr>
          <w:p w14:paraId="2D1181FC" w14:textId="77777777" w:rsidR="008A5AAE" w:rsidRPr="00CF5485" w:rsidRDefault="008A5AAE" w:rsidP="00D64642">
            <w:pPr>
              <w:rPr>
                <w:rFonts w:ascii="Times New Roman" w:hAnsi="Times New Roman" w:cs="Times New Roman"/>
              </w:rPr>
            </w:pPr>
            <w:r w:rsidRPr="00CF5485">
              <w:rPr>
                <w:rFonts w:ascii="Times New Roman" w:hAnsi="Times New Roman" w:cs="Times New Roman"/>
              </w:rPr>
              <w:t>% Found Acceptable</w:t>
            </w:r>
          </w:p>
        </w:tc>
        <w:tc>
          <w:tcPr>
            <w:tcW w:w="1610" w:type="dxa"/>
          </w:tcPr>
          <w:p w14:paraId="13B46D20" w14:textId="77777777" w:rsidR="008A5AAE" w:rsidRPr="00CF5485" w:rsidRDefault="008A5AAE" w:rsidP="00D64642">
            <w:pPr>
              <w:rPr>
                <w:rFonts w:ascii="Times New Roman" w:hAnsi="Times New Roman" w:cs="Times New Roman"/>
              </w:rPr>
            </w:pPr>
            <w:r w:rsidRPr="00CF5485">
              <w:rPr>
                <w:rFonts w:ascii="Times New Roman" w:hAnsi="Times New Roman" w:cs="Times New Roman"/>
              </w:rPr>
              <w:t>95.3</w:t>
            </w:r>
          </w:p>
        </w:tc>
        <w:tc>
          <w:tcPr>
            <w:tcW w:w="2080" w:type="dxa"/>
          </w:tcPr>
          <w:p w14:paraId="0BCB3088" w14:textId="77777777" w:rsidR="008A5AAE" w:rsidRPr="00CF5485" w:rsidRDefault="008A5AAE" w:rsidP="00D64642">
            <w:pPr>
              <w:rPr>
                <w:rFonts w:ascii="Times New Roman" w:hAnsi="Times New Roman" w:cs="Times New Roman"/>
              </w:rPr>
            </w:pPr>
            <w:r w:rsidRPr="00CF5485">
              <w:rPr>
                <w:rFonts w:ascii="Times New Roman" w:hAnsi="Times New Roman" w:cs="Times New Roman"/>
              </w:rPr>
              <w:t>71.4</w:t>
            </w:r>
          </w:p>
        </w:tc>
        <w:tc>
          <w:tcPr>
            <w:tcW w:w="1980" w:type="dxa"/>
          </w:tcPr>
          <w:p w14:paraId="0D1184F6" w14:textId="77777777" w:rsidR="008A5AAE" w:rsidRPr="00CF5485" w:rsidRDefault="008A5AAE" w:rsidP="00D64642">
            <w:pPr>
              <w:rPr>
                <w:rFonts w:ascii="Times New Roman" w:hAnsi="Times New Roman" w:cs="Times New Roman"/>
              </w:rPr>
            </w:pPr>
            <w:r w:rsidRPr="00CF5485">
              <w:rPr>
                <w:rFonts w:ascii="Times New Roman" w:hAnsi="Times New Roman" w:cs="Times New Roman"/>
              </w:rPr>
              <w:t>81.0</w:t>
            </w:r>
          </w:p>
        </w:tc>
        <w:tc>
          <w:tcPr>
            <w:tcW w:w="2062" w:type="dxa"/>
          </w:tcPr>
          <w:p w14:paraId="742683A4" w14:textId="77777777" w:rsidR="008A5AAE" w:rsidRPr="00CF5485" w:rsidRDefault="008A5AAE" w:rsidP="00D64642">
            <w:pPr>
              <w:rPr>
                <w:rFonts w:ascii="Times New Roman" w:hAnsi="Times New Roman" w:cs="Times New Roman"/>
              </w:rPr>
            </w:pPr>
            <w:r w:rsidRPr="00CF5485">
              <w:rPr>
                <w:rFonts w:ascii="Times New Roman" w:hAnsi="Times New Roman" w:cs="Times New Roman"/>
              </w:rPr>
              <w:t>85.5</w:t>
            </w:r>
          </w:p>
        </w:tc>
      </w:tr>
      <w:tr w:rsidR="008A5AAE" w:rsidRPr="00CF5485" w14:paraId="27E9722B" w14:textId="77777777" w:rsidTr="00D64642">
        <w:trPr>
          <w:trHeight w:val="286"/>
        </w:trPr>
        <w:tc>
          <w:tcPr>
            <w:tcW w:w="2808" w:type="dxa"/>
          </w:tcPr>
          <w:p w14:paraId="68E7B45D" w14:textId="77777777" w:rsidR="008A5AAE" w:rsidRPr="00CF5485" w:rsidRDefault="008A5AAE" w:rsidP="00D64642">
            <w:pPr>
              <w:rPr>
                <w:rFonts w:ascii="Times New Roman" w:hAnsi="Times New Roman" w:cs="Times New Roman"/>
              </w:rPr>
            </w:pPr>
            <w:r w:rsidRPr="00CF5485">
              <w:rPr>
                <w:rFonts w:ascii="Times New Roman" w:hAnsi="Times New Roman" w:cs="Times New Roman"/>
                <w:i/>
                <w:iCs/>
              </w:rPr>
              <w:t xml:space="preserve">M, SD </w:t>
            </w:r>
            <w:r w:rsidRPr="00CF5485">
              <w:rPr>
                <w:rFonts w:ascii="Times New Roman" w:hAnsi="Times New Roman" w:cs="Times New Roman"/>
              </w:rPr>
              <w:t>Acceptability Score</w:t>
            </w:r>
          </w:p>
        </w:tc>
        <w:tc>
          <w:tcPr>
            <w:tcW w:w="1610" w:type="dxa"/>
          </w:tcPr>
          <w:p w14:paraId="1BFF5052" w14:textId="77777777" w:rsidR="008A5AAE" w:rsidRPr="00CF5485" w:rsidRDefault="008A5AAE" w:rsidP="00D64642">
            <w:pPr>
              <w:rPr>
                <w:rFonts w:ascii="Times New Roman" w:hAnsi="Times New Roman" w:cs="Times New Roman"/>
              </w:rPr>
            </w:pPr>
            <w:r w:rsidRPr="00CF5485">
              <w:rPr>
                <w:rFonts w:ascii="Times New Roman" w:hAnsi="Times New Roman" w:cs="Times New Roman"/>
              </w:rPr>
              <w:t>39.43, 5.39</w:t>
            </w:r>
          </w:p>
        </w:tc>
        <w:tc>
          <w:tcPr>
            <w:tcW w:w="2080" w:type="dxa"/>
          </w:tcPr>
          <w:p w14:paraId="2CB908EC" w14:textId="77777777" w:rsidR="008A5AAE" w:rsidRPr="00CF5485" w:rsidRDefault="008A5AAE" w:rsidP="00D64642">
            <w:pPr>
              <w:rPr>
                <w:rFonts w:ascii="Times New Roman" w:hAnsi="Times New Roman" w:cs="Times New Roman"/>
              </w:rPr>
            </w:pPr>
            <w:r w:rsidRPr="00CF5485">
              <w:rPr>
                <w:rFonts w:ascii="Times New Roman" w:hAnsi="Times New Roman" w:cs="Times New Roman"/>
              </w:rPr>
              <w:t xml:space="preserve">28.63, 18.52, </w:t>
            </w:r>
            <w:r w:rsidRPr="00CF5485">
              <w:rPr>
                <w:rFonts w:ascii="Times New Roman" w:hAnsi="Times New Roman" w:cs="Times New Roman"/>
                <w:vertAlign w:val="superscript"/>
              </w:rPr>
              <w:t>n = 105</w:t>
            </w:r>
          </w:p>
        </w:tc>
        <w:tc>
          <w:tcPr>
            <w:tcW w:w="1980" w:type="dxa"/>
          </w:tcPr>
          <w:p w14:paraId="519802E0" w14:textId="77777777" w:rsidR="008A5AAE" w:rsidRPr="00CF5485" w:rsidRDefault="008A5AAE" w:rsidP="00D64642">
            <w:pPr>
              <w:rPr>
                <w:rFonts w:ascii="Times New Roman" w:hAnsi="Times New Roman" w:cs="Times New Roman"/>
              </w:rPr>
            </w:pPr>
            <w:r w:rsidRPr="00CF5485">
              <w:rPr>
                <w:rFonts w:ascii="Times New Roman" w:hAnsi="Times New Roman" w:cs="Times New Roman"/>
              </w:rPr>
              <w:t xml:space="preserve">34.10, 14.70, </w:t>
            </w:r>
            <w:r w:rsidRPr="00CF5485">
              <w:rPr>
                <w:rFonts w:ascii="Times New Roman" w:hAnsi="Times New Roman" w:cs="Times New Roman"/>
                <w:vertAlign w:val="superscript"/>
              </w:rPr>
              <w:t>n = 84</w:t>
            </w:r>
          </w:p>
        </w:tc>
        <w:tc>
          <w:tcPr>
            <w:tcW w:w="2062" w:type="dxa"/>
          </w:tcPr>
          <w:p w14:paraId="4FB32D9B" w14:textId="77777777" w:rsidR="008A5AAE" w:rsidRPr="00CF5485" w:rsidRDefault="008A5AAE" w:rsidP="00D64642">
            <w:pPr>
              <w:rPr>
                <w:rFonts w:ascii="Times New Roman" w:hAnsi="Times New Roman" w:cs="Times New Roman"/>
              </w:rPr>
            </w:pPr>
            <w:r w:rsidRPr="00CF5485">
              <w:rPr>
                <w:rFonts w:ascii="Times New Roman" w:hAnsi="Times New Roman" w:cs="Times New Roman"/>
              </w:rPr>
              <w:t xml:space="preserve">33.04, 13.83, </w:t>
            </w:r>
            <w:r w:rsidRPr="00CF5485">
              <w:rPr>
                <w:rFonts w:ascii="Times New Roman" w:hAnsi="Times New Roman" w:cs="Times New Roman"/>
                <w:vertAlign w:val="superscript"/>
              </w:rPr>
              <w:t>n = 145</w:t>
            </w:r>
          </w:p>
        </w:tc>
      </w:tr>
      <w:tr w:rsidR="008A5AAE" w:rsidRPr="00CF5485" w14:paraId="0B780463" w14:textId="77777777" w:rsidTr="00D64642">
        <w:trPr>
          <w:trHeight w:val="842"/>
        </w:trPr>
        <w:tc>
          <w:tcPr>
            <w:tcW w:w="10539" w:type="dxa"/>
            <w:gridSpan w:val="5"/>
            <w:tcBorders>
              <w:top w:val="single" w:sz="12" w:space="0" w:color="auto"/>
              <w:bottom w:val="nil"/>
            </w:tcBorders>
          </w:tcPr>
          <w:p w14:paraId="41CDB3D0" w14:textId="77777777" w:rsidR="008A5AAE" w:rsidRPr="00CF5485" w:rsidRDefault="008A5AAE" w:rsidP="00D64642">
            <w:pPr>
              <w:rPr>
                <w:rFonts w:ascii="Times New Roman" w:hAnsi="Times New Roman" w:cs="Times New Roman"/>
              </w:rPr>
            </w:pPr>
            <w:r w:rsidRPr="00CF5485">
              <w:rPr>
                <w:rFonts w:ascii="Times New Roman" w:hAnsi="Times New Roman" w:cs="Times New Roman"/>
              </w:rPr>
              <w:t>Note. FTS = Flip the Script, BITB = Bringing in the Bystander, DBI = Brief Drinking Intervention, SAARR = Sexual Assault and Alcohol Risk Reduction. Data</w:t>
            </w:r>
            <w:r>
              <w:rPr>
                <w:rFonts w:ascii="Times New Roman" w:hAnsi="Times New Roman" w:cs="Times New Roman"/>
              </w:rPr>
              <w:t xml:space="preserve"> reported with superscripted n’s</w:t>
            </w:r>
            <w:r w:rsidRPr="00CF5485">
              <w:rPr>
                <w:rFonts w:ascii="Times New Roman" w:hAnsi="Times New Roman" w:cs="Times New Roman"/>
              </w:rPr>
              <w:t xml:space="preserve"> for BITB, BDI, and SAARR are based on the subsample of respondents who chose to complete the NDSVIAM for that intervention or ranking. FTS data</w:t>
            </w:r>
            <w:r>
              <w:rPr>
                <w:rFonts w:ascii="Times New Roman" w:hAnsi="Times New Roman" w:cs="Times New Roman"/>
              </w:rPr>
              <w:t xml:space="preserve"> and other data</w:t>
            </w:r>
            <w:r w:rsidRPr="00CF5485">
              <w:rPr>
                <w:rFonts w:ascii="Times New Roman" w:hAnsi="Times New Roman" w:cs="Times New Roman"/>
              </w:rPr>
              <w:t xml:space="preserve"> is from the entire sample. </w:t>
            </w:r>
          </w:p>
        </w:tc>
      </w:tr>
    </w:tbl>
    <w:p w14:paraId="164D0AEE" w14:textId="77777777" w:rsidR="008A5AAE" w:rsidRDefault="008A5AAE" w:rsidP="008A5AAE">
      <w:pPr>
        <w:rPr>
          <w:rFonts w:ascii="Times New Roman" w:hAnsi="Times New Roman" w:cs="Times New Roman"/>
        </w:rPr>
      </w:pPr>
    </w:p>
    <w:p w14:paraId="24A91272" w14:textId="77777777" w:rsidR="008A5AAE" w:rsidRDefault="008A5AAE" w:rsidP="008A5AAE">
      <w:pPr>
        <w:rPr>
          <w:rFonts w:ascii="Times New Roman" w:hAnsi="Times New Roman" w:cs="Times New Roman"/>
        </w:rPr>
      </w:pPr>
    </w:p>
    <w:p w14:paraId="05356BEB" w14:textId="77777777" w:rsidR="008A5AAE" w:rsidRDefault="008A5AAE" w:rsidP="008A5AAE">
      <w:pPr>
        <w:rPr>
          <w:rFonts w:ascii="Times New Roman" w:hAnsi="Times New Roman" w:cs="Times New Roman"/>
        </w:rPr>
      </w:pPr>
    </w:p>
    <w:p w14:paraId="6D79DB4D" w14:textId="1A15FA45" w:rsidR="008A5AAE" w:rsidRDefault="008A5AAE" w:rsidP="008A5AAE">
      <w:pPr>
        <w:ind w:firstLine="0"/>
        <w:rPr>
          <w:rFonts w:ascii="Times New Roman" w:hAnsi="Times New Roman" w:cs="Times New Roman"/>
        </w:rPr>
      </w:pPr>
    </w:p>
    <w:tbl>
      <w:tblPr>
        <w:tblStyle w:val="TableGrid"/>
        <w:tblW w:w="98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949"/>
        <w:gridCol w:w="949"/>
        <w:gridCol w:w="949"/>
        <w:gridCol w:w="949"/>
        <w:gridCol w:w="950"/>
      </w:tblGrid>
      <w:tr w:rsidR="008A5AAE" w14:paraId="29929408" w14:textId="77777777" w:rsidTr="00D64642">
        <w:trPr>
          <w:trHeight w:val="765"/>
        </w:trPr>
        <w:tc>
          <w:tcPr>
            <w:tcW w:w="9876" w:type="dxa"/>
            <w:gridSpan w:val="6"/>
            <w:tcBorders>
              <w:bottom w:val="single" w:sz="4" w:space="0" w:color="auto"/>
            </w:tcBorders>
            <w:vAlign w:val="bottom"/>
          </w:tcPr>
          <w:p w14:paraId="76DF1D5E" w14:textId="77777777" w:rsidR="008A5AAE" w:rsidRPr="00EF052D" w:rsidRDefault="008A5AAE" w:rsidP="00D64642">
            <w:pPr>
              <w:ind w:firstLine="0"/>
              <w:rPr>
                <w:rFonts w:ascii="Times New Roman" w:eastAsiaTheme="minorHAnsi" w:hAnsi="Times New Roman" w:cs="Times New Roman"/>
                <w:kern w:val="2"/>
                <w:lang w:eastAsia="en-US"/>
                <w14:ligatures w14:val="standardContextual"/>
              </w:rPr>
            </w:pPr>
            <w:r w:rsidRPr="00EF052D">
              <w:rPr>
                <w:rFonts w:ascii="Times New Roman" w:eastAsiaTheme="minorHAnsi" w:hAnsi="Times New Roman" w:cs="Times New Roman"/>
                <w:kern w:val="2"/>
                <w:lang w:eastAsia="en-US"/>
                <w14:ligatures w14:val="standardContextual"/>
              </w:rPr>
              <w:t xml:space="preserve">Table </w:t>
            </w:r>
            <w:r>
              <w:rPr>
                <w:rFonts w:ascii="Times New Roman" w:eastAsiaTheme="minorHAnsi" w:hAnsi="Times New Roman" w:cs="Times New Roman"/>
                <w:kern w:val="2"/>
                <w:lang w:eastAsia="en-US"/>
                <w14:ligatures w14:val="standardContextual"/>
              </w:rPr>
              <w:t>2</w:t>
            </w:r>
          </w:p>
          <w:p w14:paraId="68769DDA" w14:textId="77777777" w:rsidR="008A5AAE" w:rsidRPr="00EF052D" w:rsidRDefault="008A5AAE" w:rsidP="00D64642">
            <w:pPr>
              <w:ind w:firstLine="0"/>
              <w:rPr>
                <w:rFonts w:ascii="Times New Roman" w:eastAsiaTheme="minorHAnsi" w:hAnsi="Times New Roman" w:cs="Times New Roman"/>
                <w:kern w:val="2"/>
                <w:lang w:eastAsia="en-US"/>
                <w14:ligatures w14:val="standardContextual"/>
              </w:rPr>
            </w:pPr>
            <w:r w:rsidRPr="00EF052D">
              <w:rPr>
                <w:rFonts w:ascii="Times New Roman" w:eastAsiaTheme="minorHAnsi" w:hAnsi="Times New Roman" w:cs="Times New Roman"/>
                <w:kern w:val="2"/>
                <w:lang w:eastAsia="en-US"/>
                <w14:ligatures w14:val="standardContextual"/>
              </w:rPr>
              <w:t xml:space="preserve">Predictors of </w:t>
            </w:r>
            <w:r>
              <w:rPr>
                <w:rFonts w:ascii="Times New Roman" w:eastAsiaTheme="minorHAnsi" w:hAnsi="Times New Roman" w:cs="Times New Roman"/>
                <w:kern w:val="2"/>
                <w:lang w:eastAsia="en-US"/>
                <w14:ligatures w14:val="standardContextual"/>
              </w:rPr>
              <w:t xml:space="preserve">Overall </w:t>
            </w:r>
            <w:r w:rsidRPr="00EF052D">
              <w:rPr>
                <w:rFonts w:ascii="Times New Roman" w:eastAsiaTheme="minorHAnsi" w:hAnsi="Times New Roman" w:cs="Times New Roman"/>
                <w:kern w:val="2"/>
                <w:lang w:eastAsia="en-US"/>
                <w14:ligatures w14:val="standardContextual"/>
              </w:rPr>
              <w:t>Acceptability</w:t>
            </w:r>
            <w:r>
              <w:rPr>
                <w:rFonts w:ascii="Times New Roman" w:eastAsiaTheme="minorHAnsi" w:hAnsi="Times New Roman" w:cs="Times New Roman"/>
                <w:kern w:val="2"/>
                <w:lang w:eastAsia="en-US"/>
                <w14:ligatures w14:val="standardContextual"/>
              </w:rPr>
              <w:t xml:space="preserve"> of FTS</w:t>
            </w:r>
          </w:p>
        </w:tc>
      </w:tr>
      <w:tr w:rsidR="008A5AAE" w14:paraId="3EFF93AF" w14:textId="77777777" w:rsidTr="00D64642">
        <w:trPr>
          <w:trHeight w:val="382"/>
        </w:trPr>
        <w:tc>
          <w:tcPr>
            <w:tcW w:w="5130" w:type="dxa"/>
            <w:vMerge w:val="restart"/>
            <w:tcBorders>
              <w:top w:val="single" w:sz="4" w:space="0" w:color="auto"/>
            </w:tcBorders>
          </w:tcPr>
          <w:p w14:paraId="7745B698" w14:textId="77777777" w:rsidR="008A5AAE" w:rsidRPr="00EF052D" w:rsidRDefault="008A5AAE" w:rsidP="00D64642">
            <w:pPr>
              <w:ind w:firstLine="0"/>
              <w:rPr>
                <w:rFonts w:ascii="Times New Roman" w:eastAsiaTheme="minorHAnsi" w:hAnsi="Times New Roman" w:cs="Times New Roman"/>
                <w:kern w:val="2"/>
                <w:lang w:eastAsia="en-US"/>
                <w14:ligatures w14:val="standardContextual"/>
              </w:rPr>
            </w:pPr>
            <w:r w:rsidRPr="00EF052D">
              <w:rPr>
                <w:rFonts w:ascii="Times New Roman" w:eastAsiaTheme="minorHAnsi" w:hAnsi="Times New Roman" w:cs="Times New Roman"/>
                <w:kern w:val="2"/>
                <w:lang w:eastAsia="en-US"/>
                <w14:ligatures w14:val="standardContextual"/>
              </w:rPr>
              <w:t>Predictor</w:t>
            </w:r>
          </w:p>
        </w:tc>
        <w:tc>
          <w:tcPr>
            <w:tcW w:w="949" w:type="dxa"/>
            <w:tcBorders>
              <w:top w:val="single" w:sz="4" w:space="0" w:color="auto"/>
            </w:tcBorders>
          </w:tcPr>
          <w:p w14:paraId="487ACE31" w14:textId="77777777" w:rsidR="008A5AAE" w:rsidRPr="00111416" w:rsidRDefault="008A5AAE" w:rsidP="00D64642">
            <w:pPr>
              <w:ind w:firstLine="0"/>
              <w:jc w:val="center"/>
              <w:rPr>
                <w:rFonts w:ascii="Times New Roman" w:eastAsiaTheme="minorHAnsi" w:hAnsi="Times New Roman" w:cs="Times New Roman"/>
                <w:i/>
                <w:iCs/>
                <w:kern w:val="2"/>
                <w:lang w:eastAsia="en-US"/>
                <w14:ligatures w14:val="standardContextual"/>
              </w:rPr>
            </w:pPr>
            <w:r w:rsidRPr="00111416">
              <w:rPr>
                <w:rFonts w:ascii="Times New Roman" w:hAnsi="Times New Roman" w:cs="Times New Roman"/>
                <w:i/>
                <w:iCs/>
              </w:rPr>
              <w:t>B</w:t>
            </w:r>
          </w:p>
        </w:tc>
        <w:tc>
          <w:tcPr>
            <w:tcW w:w="949" w:type="dxa"/>
            <w:tcBorders>
              <w:top w:val="single" w:sz="4" w:space="0" w:color="auto"/>
            </w:tcBorders>
          </w:tcPr>
          <w:p w14:paraId="2A451A13" w14:textId="77777777" w:rsidR="008A5AAE" w:rsidRPr="00EF052D" w:rsidRDefault="008A5AAE" w:rsidP="00D64642">
            <w:pPr>
              <w:ind w:firstLine="0"/>
              <w:jc w:val="center"/>
              <w:rPr>
                <w:rFonts w:ascii="Times New Roman" w:eastAsiaTheme="minorHAnsi" w:hAnsi="Times New Roman" w:cs="Times New Roman"/>
                <w:kern w:val="2"/>
                <w:lang w:eastAsia="en-US"/>
                <w14:ligatures w14:val="standardContextual"/>
              </w:rPr>
            </w:pPr>
            <w:r w:rsidRPr="00EF052D">
              <w:rPr>
                <w:rFonts w:ascii="Times New Roman" w:eastAsiaTheme="minorHAnsi" w:hAnsi="Times New Roman" w:cs="Times New Roman"/>
                <w:kern w:val="2"/>
                <w:lang w:eastAsia="en-US"/>
                <w14:ligatures w14:val="standardContextual"/>
              </w:rPr>
              <w:t xml:space="preserve">SE </w:t>
            </w:r>
          </w:p>
        </w:tc>
        <w:tc>
          <w:tcPr>
            <w:tcW w:w="1898" w:type="dxa"/>
            <w:gridSpan w:val="2"/>
            <w:tcBorders>
              <w:top w:val="single" w:sz="4" w:space="0" w:color="auto"/>
              <w:bottom w:val="single" w:sz="4" w:space="0" w:color="auto"/>
            </w:tcBorders>
          </w:tcPr>
          <w:p w14:paraId="38061070" w14:textId="77777777" w:rsidR="008A5AAE" w:rsidRPr="00EF052D" w:rsidRDefault="008A5AAE" w:rsidP="00D64642">
            <w:pPr>
              <w:ind w:firstLine="0"/>
              <w:jc w:val="center"/>
              <w:rPr>
                <w:rFonts w:ascii="Times New Roman" w:eastAsiaTheme="minorHAnsi" w:hAnsi="Times New Roman" w:cs="Times New Roman"/>
                <w:kern w:val="2"/>
                <w:lang w:eastAsia="en-US"/>
                <w14:ligatures w14:val="standardContextual"/>
              </w:rPr>
            </w:pPr>
            <w:r w:rsidRPr="00EF052D">
              <w:rPr>
                <w:rFonts w:ascii="Times New Roman" w:eastAsiaTheme="minorHAnsi" w:hAnsi="Times New Roman" w:cs="Times New Roman"/>
                <w:kern w:val="2"/>
                <w:lang w:eastAsia="en-US"/>
                <w14:ligatures w14:val="standardContextual"/>
              </w:rPr>
              <w:t>95% CI</w:t>
            </w:r>
          </w:p>
        </w:tc>
        <w:tc>
          <w:tcPr>
            <w:tcW w:w="950" w:type="dxa"/>
            <w:tcBorders>
              <w:top w:val="single" w:sz="4" w:space="0" w:color="auto"/>
            </w:tcBorders>
          </w:tcPr>
          <w:p w14:paraId="5BB161BE" w14:textId="77777777" w:rsidR="008A5AAE" w:rsidRPr="00111416" w:rsidRDefault="008A5AAE" w:rsidP="00D64642">
            <w:pPr>
              <w:ind w:firstLine="0"/>
              <w:jc w:val="center"/>
              <w:rPr>
                <w:rFonts w:ascii="Times New Roman" w:eastAsiaTheme="minorHAnsi" w:hAnsi="Times New Roman" w:cs="Times New Roman"/>
                <w:i/>
                <w:iCs/>
                <w:kern w:val="2"/>
                <w:lang w:eastAsia="en-US"/>
                <w14:ligatures w14:val="standardContextual"/>
              </w:rPr>
            </w:pPr>
            <w:r w:rsidRPr="00111416">
              <w:rPr>
                <w:rFonts w:ascii="Times New Roman" w:hAnsi="Times New Roman" w:cs="Times New Roman"/>
                <w:i/>
                <w:iCs/>
              </w:rPr>
              <w:t>p</w:t>
            </w:r>
          </w:p>
        </w:tc>
      </w:tr>
      <w:tr w:rsidR="008A5AAE" w14:paraId="29EBA09D" w14:textId="77777777" w:rsidTr="00D64642">
        <w:trPr>
          <w:trHeight w:val="199"/>
        </w:trPr>
        <w:tc>
          <w:tcPr>
            <w:tcW w:w="5130" w:type="dxa"/>
            <w:vMerge/>
            <w:tcBorders>
              <w:bottom w:val="single" w:sz="4" w:space="0" w:color="auto"/>
            </w:tcBorders>
          </w:tcPr>
          <w:p w14:paraId="6DD17C5C" w14:textId="77777777" w:rsidR="008A5AAE" w:rsidRPr="00EF052D" w:rsidRDefault="008A5AAE" w:rsidP="00D64642">
            <w:pPr>
              <w:ind w:firstLine="0"/>
              <w:rPr>
                <w:rFonts w:ascii="Times New Roman" w:eastAsiaTheme="minorHAnsi" w:hAnsi="Times New Roman" w:cs="Times New Roman"/>
                <w:kern w:val="2"/>
                <w:lang w:eastAsia="en-US"/>
                <w14:ligatures w14:val="standardContextual"/>
              </w:rPr>
            </w:pPr>
          </w:p>
        </w:tc>
        <w:tc>
          <w:tcPr>
            <w:tcW w:w="949" w:type="dxa"/>
            <w:tcBorders>
              <w:bottom w:val="single" w:sz="4" w:space="0" w:color="auto"/>
            </w:tcBorders>
          </w:tcPr>
          <w:p w14:paraId="189CC2D2" w14:textId="77777777" w:rsidR="008A5AAE" w:rsidRPr="00EF052D" w:rsidRDefault="008A5AAE" w:rsidP="00D64642">
            <w:pPr>
              <w:ind w:firstLine="0"/>
              <w:jc w:val="center"/>
              <w:rPr>
                <w:rFonts w:ascii="Times New Roman" w:eastAsiaTheme="minorHAnsi" w:hAnsi="Times New Roman" w:cs="Times New Roman"/>
                <w:kern w:val="2"/>
                <w:lang w:eastAsia="en-US"/>
                <w14:ligatures w14:val="standardContextual"/>
              </w:rPr>
            </w:pPr>
          </w:p>
        </w:tc>
        <w:tc>
          <w:tcPr>
            <w:tcW w:w="949" w:type="dxa"/>
            <w:tcBorders>
              <w:bottom w:val="single" w:sz="4" w:space="0" w:color="auto"/>
            </w:tcBorders>
          </w:tcPr>
          <w:p w14:paraId="50EAAD42" w14:textId="77777777" w:rsidR="008A5AAE" w:rsidRPr="00EF052D" w:rsidRDefault="008A5AAE" w:rsidP="00D64642">
            <w:pPr>
              <w:ind w:firstLine="0"/>
              <w:jc w:val="center"/>
              <w:rPr>
                <w:rFonts w:ascii="Times New Roman" w:eastAsiaTheme="minorHAnsi" w:hAnsi="Times New Roman" w:cs="Times New Roman"/>
                <w:kern w:val="2"/>
                <w:lang w:eastAsia="en-US"/>
                <w14:ligatures w14:val="standardContextual"/>
              </w:rPr>
            </w:pPr>
          </w:p>
        </w:tc>
        <w:tc>
          <w:tcPr>
            <w:tcW w:w="949" w:type="dxa"/>
            <w:tcBorders>
              <w:top w:val="single" w:sz="4" w:space="0" w:color="auto"/>
              <w:bottom w:val="single" w:sz="4" w:space="0" w:color="auto"/>
            </w:tcBorders>
          </w:tcPr>
          <w:p w14:paraId="560594F1" w14:textId="77777777" w:rsidR="008A5AAE" w:rsidRPr="00EF052D" w:rsidRDefault="008A5AAE" w:rsidP="00D64642">
            <w:pPr>
              <w:ind w:firstLine="0"/>
              <w:jc w:val="center"/>
              <w:rPr>
                <w:rFonts w:ascii="Times New Roman" w:eastAsiaTheme="minorHAnsi" w:hAnsi="Times New Roman" w:cs="Times New Roman"/>
                <w:kern w:val="2"/>
                <w:lang w:eastAsia="en-US"/>
                <w14:ligatures w14:val="standardContextual"/>
              </w:rPr>
            </w:pPr>
            <w:r w:rsidRPr="00EF052D">
              <w:rPr>
                <w:rFonts w:ascii="Times New Roman" w:eastAsiaTheme="minorHAnsi" w:hAnsi="Times New Roman" w:cs="Times New Roman"/>
                <w:kern w:val="2"/>
                <w:lang w:eastAsia="en-US"/>
                <w14:ligatures w14:val="standardContextual"/>
              </w:rPr>
              <w:t>LL</w:t>
            </w:r>
          </w:p>
        </w:tc>
        <w:tc>
          <w:tcPr>
            <w:tcW w:w="949" w:type="dxa"/>
            <w:tcBorders>
              <w:top w:val="single" w:sz="4" w:space="0" w:color="auto"/>
              <w:bottom w:val="single" w:sz="4" w:space="0" w:color="auto"/>
            </w:tcBorders>
          </w:tcPr>
          <w:p w14:paraId="2F2FC4D5" w14:textId="77777777" w:rsidR="008A5AAE" w:rsidRPr="00EF052D" w:rsidRDefault="008A5AAE" w:rsidP="00D64642">
            <w:pPr>
              <w:ind w:firstLine="0"/>
              <w:jc w:val="center"/>
              <w:rPr>
                <w:rFonts w:ascii="Times New Roman" w:eastAsiaTheme="minorHAnsi" w:hAnsi="Times New Roman" w:cs="Times New Roman"/>
                <w:kern w:val="2"/>
                <w:lang w:eastAsia="en-US"/>
                <w14:ligatures w14:val="standardContextual"/>
              </w:rPr>
            </w:pPr>
            <w:r w:rsidRPr="00EF052D">
              <w:rPr>
                <w:rFonts w:ascii="Times New Roman" w:eastAsiaTheme="minorHAnsi" w:hAnsi="Times New Roman" w:cs="Times New Roman"/>
                <w:kern w:val="2"/>
                <w:lang w:eastAsia="en-US"/>
                <w14:ligatures w14:val="standardContextual"/>
              </w:rPr>
              <w:t>UL</w:t>
            </w:r>
          </w:p>
        </w:tc>
        <w:tc>
          <w:tcPr>
            <w:tcW w:w="950" w:type="dxa"/>
            <w:tcBorders>
              <w:bottom w:val="single" w:sz="4" w:space="0" w:color="auto"/>
            </w:tcBorders>
          </w:tcPr>
          <w:p w14:paraId="569EECB4" w14:textId="77777777" w:rsidR="008A5AAE" w:rsidRPr="00EF052D" w:rsidRDefault="008A5AAE" w:rsidP="00D64642">
            <w:pPr>
              <w:ind w:firstLine="0"/>
              <w:jc w:val="center"/>
              <w:rPr>
                <w:rFonts w:ascii="Times New Roman" w:eastAsiaTheme="minorHAnsi" w:hAnsi="Times New Roman" w:cs="Times New Roman"/>
                <w:kern w:val="2"/>
                <w:lang w:eastAsia="en-US"/>
                <w14:ligatures w14:val="standardContextual"/>
              </w:rPr>
            </w:pPr>
          </w:p>
        </w:tc>
      </w:tr>
      <w:tr w:rsidR="008A5AAE" w14:paraId="0071424D" w14:textId="77777777" w:rsidTr="00D64642">
        <w:trPr>
          <w:trHeight w:val="365"/>
        </w:trPr>
        <w:tc>
          <w:tcPr>
            <w:tcW w:w="5130" w:type="dxa"/>
            <w:tcBorders>
              <w:top w:val="single" w:sz="4" w:space="0" w:color="auto"/>
            </w:tcBorders>
          </w:tcPr>
          <w:p w14:paraId="4F7D7E1A" w14:textId="77777777" w:rsidR="008A5AAE" w:rsidRPr="00EF052D" w:rsidRDefault="008A5AAE" w:rsidP="00D64642">
            <w:pPr>
              <w:ind w:firstLine="0"/>
              <w:rPr>
                <w:rFonts w:ascii="Times New Roman" w:eastAsiaTheme="minorHAnsi" w:hAnsi="Times New Roman" w:cs="Times New Roman"/>
                <w:kern w:val="2"/>
                <w:lang w:eastAsia="en-US"/>
                <w14:ligatures w14:val="standardContextual"/>
              </w:rPr>
            </w:pPr>
            <w:r w:rsidRPr="00EF052D">
              <w:rPr>
                <w:rFonts w:ascii="Times New Roman" w:eastAsiaTheme="minorHAnsi" w:hAnsi="Times New Roman" w:cs="Times New Roman"/>
                <w:kern w:val="2"/>
                <w:lang w:eastAsia="en-US"/>
                <w14:ligatures w14:val="standardContextual"/>
              </w:rPr>
              <w:t xml:space="preserve">Hours of </w:t>
            </w:r>
            <w:proofErr w:type="spellStart"/>
            <w:r w:rsidRPr="00EF052D">
              <w:rPr>
                <w:rFonts w:ascii="Times New Roman" w:eastAsiaTheme="minorHAnsi" w:hAnsi="Times New Roman" w:cs="Times New Roman"/>
                <w:kern w:val="2"/>
                <w:lang w:eastAsia="en-US"/>
                <w14:ligatures w14:val="standardContextual"/>
              </w:rPr>
              <w:t>self defense</w:t>
            </w:r>
            <w:proofErr w:type="spellEnd"/>
            <w:r w:rsidRPr="00EF052D">
              <w:rPr>
                <w:rFonts w:ascii="Times New Roman" w:eastAsiaTheme="minorHAnsi" w:hAnsi="Times New Roman" w:cs="Times New Roman"/>
                <w:kern w:val="2"/>
                <w:lang w:eastAsia="en-US"/>
                <w14:ligatures w14:val="standardContextual"/>
              </w:rPr>
              <w:t xml:space="preserve"> training</w:t>
            </w:r>
          </w:p>
        </w:tc>
        <w:tc>
          <w:tcPr>
            <w:tcW w:w="949" w:type="dxa"/>
            <w:tcBorders>
              <w:top w:val="single" w:sz="4" w:space="0" w:color="auto"/>
            </w:tcBorders>
          </w:tcPr>
          <w:p w14:paraId="1C5B87D6" w14:textId="77777777" w:rsidR="008A5AAE" w:rsidRPr="00EF052D" w:rsidRDefault="008A5AAE" w:rsidP="00D64642">
            <w:pPr>
              <w:ind w:firstLine="0"/>
              <w:jc w:val="center"/>
              <w:rPr>
                <w:rFonts w:ascii="Times New Roman" w:eastAsiaTheme="minorHAnsi" w:hAnsi="Times New Roman" w:cs="Times New Roman"/>
                <w:kern w:val="2"/>
                <w:lang w:eastAsia="en-US"/>
                <w14:ligatures w14:val="standardContextual"/>
              </w:rPr>
            </w:pPr>
            <w:r>
              <w:rPr>
                <w:rFonts w:ascii="Times New Roman" w:eastAsiaTheme="minorHAnsi" w:hAnsi="Times New Roman" w:cs="Times New Roman"/>
                <w:kern w:val="2"/>
                <w:lang w:eastAsia="en-US"/>
                <w14:ligatures w14:val="standardContextual"/>
              </w:rPr>
              <w:t>.02</w:t>
            </w:r>
          </w:p>
        </w:tc>
        <w:tc>
          <w:tcPr>
            <w:tcW w:w="949" w:type="dxa"/>
            <w:tcBorders>
              <w:top w:val="single" w:sz="4" w:space="0" w:color="auto"/>
            </w:tcBorders>
          </w:tcPr>
          <w:p w14:paraId="7E76CECA" w14:textId="77777777" w:rsidR="008A5AAE" w:rsidRPr="00EF052D" w:rsidRDefault="008A5AAE" w:rsidP="00D64642">
            <w:pPr>
              <w:ind w:firstLine="0"/>
              <w:jc w:val="center"/>
              <w:rPr>
                <w:rFonts w:ascii="Times New Roman" w:eastAsiaTheme="minorHAnsi" w:hAnsi="Times New Roman" w:cs="Times New Roman"/>
                <w:kern w:val="2"/>
                <w:lang w:eastAsia="en-US"/>
                <w14:ligatures w14:val="standardContextual"/>
              </w:rPr>
            </w:pPr>
            <w:r>
              <w:rPr>
                <w:rFonts w:ascii="Times New Roman" w:eastAsiaTheme="minorHAnsi" w:hAnsi="Times New Roman" w:cs="Times New Roman"/>
                <w:kern w:val="2"/>
                <w:lang w:eastAsia="en-US"/>
                <w14:ligatures w14:val="standardContextual"/>
              </w:rPr>
              <w:t>.38</w:t>
            </w:r>
          </w:p>
        </w:tc>
        <w:tc>
          <w:tcPr>
            <w:tcW w:w="949" w:type="dxa"/>
            <w:tcBorders>
              <w:top w:val="single" w:sz="4" w:space="0" w:color="auto"/>
            </w:tcBorders>
          </w:tcPr>
          <w:p w14:paraId="2EE82879" w14:textId="77777777" w:rsidR="008A5AAE" w:rsidRPr="00EF052D" w:rsidRDefault="008A5AAE" w:rsidP="00D64642">
            <w:pPr>
              <w:ind w:firstLine="0"/>
              <w:jc w:val="center"/>
              <w:rPr>
                <w:rFonts w:ascii="Times New Roman" w:eastAsiaTheme="minorHAnsi" w:hAnsi="Times New Roman" w:cs="Times New Roman"/>
                <w:kern w:val="2"/>
                <w:lang w:eastAsia="en-US"/>
                <w14:ligatures w14:val="standardContextual"/>
              </w:rPr>
            </w:pPr>
            <w:r>
              <w:rPr>
                <w:rFonts w:ascii="Times New Roman" w:eastAsiaTheme="minorHAnsi" w:hAnsi="Times New Roman" w:cs="Times New Roman"/>
                <w:kern w:val="2"/>
                <w:lang w:eastAsia="en-US"/>
                <w14:ligatures w14:val="standardContextual"/>
              </w:rPr>
              <w:t>-.60</w:t>
            </w:r>
          </w:p>
        </w:tc>
        <w:tc>
          <w:tcPr>
            <w:tcW w:w="949" w:type="dxa"/>
            <w:tcBorders>
              <w:top w:val="single" w:sz="4" w:space="0" w:color="auto"/>
            </w:tcBorders>
          </w:tcPr>
          <w:p w14:paraId="1B6584FF" w14:textId="77777777" w:rsidR="008A5AAE" w:rsidRPr="00EF052D" w:rsidRDefault="008A5AAE" w:rsidP="00D64642">
            <w:pPr>
              <w:ind w:firstLine="0"/>
              <w:jc w:val="center"/>
              <w:rPr>
                <w:rFonts w:ascii="Times New Roman" w:eastAsiaTheme="minorHAnsi" w:hAnsi="Times New Roman" w:cs="Times New Roman"/>
                <w:kern w:val="2"/>
                <w:lang w:eastAsia="en-US"/>
                <w14:ligatures w14:val="standardContextual"/>
              </w:rPr>
            </w:pPr>
            <w:r>
              <w:rPr>
                <w:rFonts w:ascii="Times New Roman" w:eastAsiaTheme="minorHAnsi" w:hAnsi="Times New Roman" w:cs="Times New Roman"/>
                <w:kern w:val="2"/>
                <w:lang w:eastAsia="en-US"/>
                <w14:ligatures w14:val="standardContextual"/>
              </w:rPr>
              <w:t>.88</w:t>
            </w:r>
          </w:p>
        </w:tc>
        <w:tc>
          <w:tcPr>
            <w:tcW w:w="950" w:type="dxa"/>
            <w:tcBorders>
              <w:top w:val="single" w:sz="4" w:space="0" w:color="auto"/>
            </w:tcBorders>
          </w:tcPr>
          <w:p w14:paraId="20ABF8B7" w14:textId="77777777" w:rsidR="008A5AAE" w:rsidRPr="00EF052D" w:rsidRDefault="008A5AAE" w:rsidP="00D64642">
            <w:pPr>
              <w:ind w:firstLine="0"/>
              <w:jc w:val="center"/>
              <w:rPr>
                <w:rFonts w:ascii="Times New Roman" w:eastAsiaTheme="minorHAnsi" w:hAnsi="Times New Roman" w:cs="Times New Roman"/>
                <w:kern w:val="2"/>
                <w:lang w:eastAsia="en-US"/>
                <w14:ligatures w14:val="standardContextual"/>
              </w:rPr>
            </w:pPr>
            <w:r>
              <w:rPr>
                <w:rFonts w:ascii="Times New Roman" w:eastAsiaTheme="minorHAnsi" w:hAnsi="Times New Roman" w:cs="Times New Roman"/>
                <w:kern w:val="2"/>
                <w:lang w:eastAsia="en-US"/>
                <w14:ligatures w14:val="standardContextual"/>
              </w:rPr>
              <w:t>.711</w:t>
            </w:r>
          </w:p>
        </w:tc>
      </w:tr>
      <w:tr w:rsidR="008A5AAE" w14:paraId="393C91EF" w14:textId="77777777" w:rsidTr="00D64642">
        <w:trPr>
          <w:trHeight w:val="382"/>
        </w:trPr>
        <w:tc>
          <w:tcPr>
            <w:tcW w:w="5130" w:type="dxa"/>
          </w:tcPr>
          <w:p w14:paraId="140931D5" w14:textId="77777777" w:rsidR="008A5AAE" w:rsidRPr="00EF052D" w:rsidRDefault="008A5AAE" w:rsidP="00D64642">
            <w:pPr>
              <w:ind w:firstLine="0"/>
              <w:rPr>
                <w:rFonts w:ascii="Times New Roman" w:eastAsiaTheme="minorHAnsi" w:hAnsi="Times New Roman" w:cs="Times New Roman"/>
                <w:kern w:val="2"/>
                <w:lang w:eastAsia="en-US"/>
                <w14:ligatures w14:val="standardContextual"/>
              </w:rPr>
            </w:pPr>
            <w:r w:rsidRPr="00EF052D">
              <w:rPr>
                <w:rFonts w:ascii="Times New Roman" w:eastAsiaTheme="minorHAnsi" w:hAnsi="Times New Roman" w:cs="Times New Roman"/>
                <w:kern w:val="2"/>
                <w:lang w:eastAsia="en-US"/>
                <w14:ligatures w14:val="standardContextual"/>
              </w:rPr>
              <w:t>Hours of bystander training</w:t>
            </w:r>
          </w:p>
        </w:tc>
        <w:tc>
          <w:tcPr>
            <w:tcW w:w="949" w:type="dxa"/>
          </w:tcPr>
          <w:p w14:paraId="3FC97226" w14:textId="77777777" w:rsidR="008A5AAE" w:rsidRPr="00EF052D" w:rsidRDefault="008A5AAE" w:rsidP="00D64642">
            <w:pPr>
              <w:ind w:firstLine="0"/>
              <w:jc w:val="center"/>
              <w:rPr>
                <w:rFonts w:ascii="Times New Roman" w:eastAsiaTheme="minorHAnsi" w:hAnsi="Times New Roman" w:cs="Times New Roman"/>
                <w:kern w:val="2"/>
                <w:lang w:eastAsia="en-US"/>
                <w14:ligatures w14:val="standardContextual"/>
              </w:rPr>
            </w:pPr>
            <w:r>
              <w:rPr>
                <w:rFonts w:ascii="Times New Roman" w:eastAsiaTheme="minorHAnsi" w:hAnsi="Times New Roman" w:cs="Times New Roman"/>
                <w:kern w:val="2"/>
                <w:lang w:eastAsia="en-US"/>
                <w14:ligatures w14:val="standardContextual"/>
              </w:rPr>
              <w:t>.01</w:t>
            </w:r>
          </w:p>
        </w:tc>
        <w:tc>
          <w:tcPr>
            <w:tcW w:w="949" w:type="dxa"/>
          </w:tcPr>
          <w:p w14:paraId="2E2D02DF" w14:textId="77777777" w:rsidR="008A5AAE" w:rsidRPr="00EF052D" w:rsidRDefault="008A5AAE" w:rsidP="00D64642">
            <w:pPr>
              <w:ind w:firstLine="0"/>
              <w:jc w:val="center"/>
              <w:rPr>
                <w:rFonts w:ascii="Times New Roman" w:eastAsiaTheme="minorHAnsi" w:hAnsi="Times New Roman" w:cs="Times New Roman"/>
                <w:kern w:val="2"/>
                <w:lang w:eastAsia="en-US"/>
                <w14:ligatures w14:val="standardContextual"/>
              </w:rPr>
            </w:pPr>
            <w:r>
              <w:rPr>
                <w:rFonts w:ascii="Times New Roman" w:eastAsiaTheme="minorHAnsi" w:hAnsi="Times New Roman" w:cs="Times New Roman"/>
                <w:kern w:val="2"/>
                <w:lang w:eastAsia="en-US"/>
                <w14:ligatures w14:val="standardContextual"/>
              </w:rPr>
              <w:t>.35</w:t>
            </w:r>
          </w:p>
        </w:tc>
        <w:tc>
          <w:tcPr>
            <w:tcW w:w="949" w:type="dxa"/>
          </w:tcPr>
          <w:p w14:paraId="0FD3E5C1" w14:textId="77777777" w:rsidR="008A5AAE" w:rsidRPr="00EF052D" w:rsidRDefault="008A5AAE" w:rsidP="00D64642">
            <w:pPr>
              <w:ind w:firstLine="0"/>
              <w:jc w:val="center"/>
              <w:rPr>
                <w:rFonts w:ascii="Times New Roman" w:eastAsiaTheme="minorHAnsi" w:hAnsi="Times New Roman" w:cs="Times New Roman"/>
                <w:kern w:val="2"/>
                <w:lang w:eastAsia="en-US"/>
                <w14:ligatures w14:val="standardContextual"/>
              </w:rPr>
            </w:pPr>
            <w:r>
              <w:rPr>
                <w:rFonts w:ascii="Times New Roman" w:eastAsiaTheme="minorHAnsi" w:hAnsi="Times New Roman" w:cs="Times New Roman"/>
                <w:kern w:val="2"/>
                <w:lang w:eastAsia="en-US"/>
                <w14:ligatures w14:val="standardContextual"/>
              </w:rPr>
              <w:t>-.64</w:t>
            </w:r>
          </w:p>
        </w:tc>
        <w:tc>
          <w:tcPr>
            <w:tcW w:w="949" w:type="dxa"/>
          </w:tcPr>
          <w:p w14:paraId="4F21CE31" w14:textId="77777777" w:rsidR="008A5AAE" w:rsidRPr="00EF052D" w:rsidRDefault="008A5AAE" w:rsidP="00D64642">
            <w:pPr>
              <w:ind w:firstLine="0"/>
              <w:jc w:val="center"/>
              <w:rPr>
                <w:rFonts w:ascii="Times New Roman" w:eastAsiaTheme="minorHAnsi" w:hAnsi="Times New Roman" w:cs="Times New Roman"/>
                <w:kern w:val="2"/>
                <w:lang w:eastAsia="en-US"/>
                <w14:ligatures w14:val="standardContextual"/>
              </w:rPr>
            </w:pPr>
            <w:r>
              <w:rPr>
                <w:rFonts w:ascii="Times New Roman" w:eastAsiaTheme="minorHAnsi" w:hAnsi="Times New Roman" w:cs="Times New Roman"/>
                <w:kern w:val="2"/>
                <w:lang w:eastAsia="en-US"/>
                <w14:ligatures w14:val="standardContextual"/>
              </w:rPr>
              <w:t>.75</w:t>
            </w:r>
          </w:p>
        </w:tc>
        <w:tc>
          <w:tcPr>
            <w:tcW w:w="950" w:type="dxa"/>
          </w:tcPr>
          <w:p w14:paraId="5EF006AA" w14:textId="77777777" w:rsidR="008A5AAE" w:rsidRPr="00EF052D" w:rsidRDefault="008A5AAE" w:rsidP="00D64642">
            <w:pPr>
              <w:ind w:firstLine="0"/>
              <w:jc w:val="center"/>
              <w:rPr>
                <w:rFonts w:ascii="Times New Roman" w:eastAsiaTheme="minorHAnsi" w:hAnsi="Times New Roman" w:cs="Times New Roman"/>
                <w:kern w:val="2"/>
                <w:lang w:eastAsia="en-US"/>
                <w14:ligatures w14:val="standardContextual"/>
              </w:rPr>
            </w:pPr>
            <w:r>
              <w:rPr>
                <w:rFonts w:ascii="Times New Roman" w:eastAsiaTheme="minorHAnsi" w:hAnsi="Times New Roman" w:cs="Times New Roman"/>
                <w:kern w:val="2"/>
                <w:lang w:eastAsia="en-US"/>
                <w14:ligatures w14:val="standardContextual"/>
              </w:rPr>
              <w:t>.878</w:t>
            </w:r>
          </w:p>
        </w:tc>
      </w:tr>
      <w:tr w:rsidR="008A5AAE" w14:paraId="70BE4731" w14:textId="77777777" w:rsidTr="00D64642">
        <w:trPr>
          <w:trHeight w:val="382"/>
        </w:trPr>
        <w:tc>
          <w:tcPr>
            <w:tcW w:w="5130" w:type="dxa"/>
          </w:tcPr>
          <w:p w14:paraId="63B7400F" w14:textId="77777777" w:rsidR="008A5AAE" w:rsidRPr="00EF052D" w:rsidRDefault="008A5AAE" w:rsidP="00D64642">
            <w:pPr>
              <w:ind w:firstLine="0"/>
              <w:rPr>
                <w:rFonts w:ascii="Times New Roman" w:eastAsiaTheme="minorHAnsi" w:hAnsi="Times New Roman" w:cs="Times New Roman"/>
                <w:kern w:val="2"/>
                <w:lang w:eastAsia="en-US"/>
                <w14:ligatures w14:val="standardContextual"/>
              </w:rPr>
            </w:pPr>
            <w:r w:rsidRPr="00EF052D">
              <w:rPr>
                <w:rFonts w:ascii="Times New Roman" w:eastAsiaTheme="minorHAnsi" w:hAnsi="Times New Roman" w:cs="Times New Roman"/>
                <w:kern w:val="2"/>
                <w:lang w:eastAsia="en-US"/>
                <w14:ligatures w14:val="standardContextual"/>
              </w:rPr>
              <w:t>Hours of other sexual assault prevention education</w:t>
            </w:r>
          </w:p>
        </w:tc>
        <w:tc>
          <w:tcPr>
            <w:tcW w:w="949" w:type="dxa"/>
          </w:tcPr>
          <w:p w14:paraId="08216F2C" w14:textId="77777777" w:rsidR="008A5AAE" w:rsidRPr="00EF052D" w:rsidRDefault="008A5AAE" w:rsidP="00D64642">
            <w:pPr>
              <w:ind w:firstLine="0"/>
              <w:jc w:val="center"/>
              <w:rPr>
                <w:rFonts w:ascii="Times New Roman" w:eastAsiaTheme="minorHAnsi" w:hAnsi="Times New Roman" w:cs="Times New Roman"/>
                <w:kern w:val="2"/>
                <w:lang w:eastAsia="en-US"/>
                <w14:ligatures w14:val="standardContextual"/>
              </w:rPr>
            </w:pPr>
            <w:r>
              <w:rPr>
                <w:rFonts w:ascii="Times New Roman" w:eastAsiaTheme="minorHAnsi" w:hAnsi="Times New Roman" w:cs="Times New Roman"/>
                <w:kern w:val="2"/>
                <w:lang w:eastAsia="en-US"/>
                <w14:ligatures w14:val="standardContextual"/>
              </w:rPr>
              <w:t>-.04</w:t>
            </w:r>
          </w:p>
        </w:tc>
        <w:tc>
          <w:tcPr>
            <w:tcW w:w="949" w:type="dxa"/>
          </w:tcPr>
          <w:p w14:paraId="05B297CC" w14:textId="77777777" w:rsidR="008A5AAE" w:rsidRPr="00EF052D" w:rsidRDefault="008A5AAE" w:rsidP="00D64642">
            <w:pPr>
              <w:ind w:firstLine="0"/>
              <w:jc w:val="center"/>
              <w:rPr>
                <w:rFonts w:ascii="Times New Roman" w:eastAsiaTheme="minorHAnsi" w:hAnsi="Times New Roman" w:cs="Times New Roman"/>
                <w:kern w:val="2"/>
                <w:lang w:eastAsia="en-US"/>
                <w14:ligatures w14:val="standardContextual"/>
              </w:rPr>
            </w:pPr>
            <w:r>
              <w:rPr>
                <w:rFonts w:ascii="Times New Roman" w:eastAsiaTheme="minorHAnsi" w:hAnsi="Times New Roman" w:cs="Times New Roman"/>
                <w:kern w:val="2"/>
                <w:lang w:eastAsia="en-US"/>
                <w14:ligatures w14:val="standardContextual"/>
              </w:rPr>
              <w:t>.35</w:t>
            </w:r>
          </w:p>
        </w:tc>
        <w:tc>
          <w:tcPr>
            <w:tcW w:w="949" w:type="dxa"/>
          </w:tcPr>
          <w:p w14:paraId="2F76120D" w14:textId="77777777" w:rsidR="008A5AAE" w:rsidRPr="00EF052D" w:rsidRDefault="008A5AAE" w:rsidP="00D64642">
            <w:pPr>
              <w:ind w:firstLine="0"/>
              <w:jc w:val="center"/>
              <w:rPr>
                <w:rFonts w:ascii="Times New Roman" w:eastAsiaTheme="minorHAnsi" w:hAnsi="Times New Roman" w:cs="Times New Roman"/>
                <w:kern w:val="2"/>
                <w:lang w:eastAsia="en-US"/>
                <w14:ligatures w14:val="standardContextual"/>
              </w:rPr>
            </w:pPr>
            <w:r>
              <w:rPr>
                <w:rFonts w:ascii="Times New Roman" w:eastAsiaTheme="minorHAnsi" w:hAnsi="Times New Roman" w:cs="Times New Roman"/>
                <w:kern w:val="2"/>
                <w:lang w:eastAsia="en-US"/>
                <w14:ligatures w14:val="standardContextual"/>
              </w:rPr>
              <w:t>-.96</w:t>
            </w:r>
          </w:p>
        </w:tc>
        <w:tc>
          <w:tcPr>
            <w:tcW w:w="949" w:type="dxa"/>
          </w:tcPr>
          <w:p w14:paraId="5F9F4540" w14:textId="77777777" w:rsidR="008A5AAE" w:rsidRPr="00EF052D" w:rsidRDefault="008A5AAE" w:rsidP="00D64642">
            <w:pPr>
              <w:ind w:firstLine="0"/>
              <w:jc w:val="center"/>
              <w:rPr>
                <w:rFonts w:ascii="Times New Roman" w:eastAsiaTheme="minorHAnsi" w:hAnsi="Times New Roman" w:cs="Times New Roman"/>
                <w:kern w:val="2"/>
                <w:lang w:eastAsia="en-US"/>
                <w14:ligatures w14:val="standardContextual"/>
              </w:rPr>
            </w:pPr>
            <w:r>
              <w:rPr>
                <w:rFonts w:ascii="Times New Roman" w:eastAsiaTheme="minorHAnsi" w:hAnsi="Times New Roman" w:cs="Times New Roman"/>
                <w:kern w:val="2"/>
                <w:lang w:eastAsia="en-US"/>
                <w14:ligatures w14:val="standardContextual"/>
              </w:rPr>
              <w:t>.43</w:t>
            </w:r>
          </w:p>
        </w:tc>
        <w:tc>
          <w:tcPr>
            <w:tcW w:w="950" w:type="dxa"/>
          </w:tcPr>
          <w:p w14:paraId="7C30A1DB" w14:textId="77777777" w:rsidR="008A5AAE" w:rsidRPr="00EF052D" w:rsidRDefault="008A5AAE" w:rsidP="00D64642">
            <w:pPr>
              <w:ind w:firstLine="0"/>
              <w:jc w:val="center"/>
              <w:rPr>
                <w:rFonts w:ascii="Times New Roman" w:eastAsiaTheme="minorHAnsi" w:hAnsi="Times New Roman" w:cs="Times New Roman"/>
                <w:kern w:val="2"/>
                <w:lang w:eastAsia="en-US"/>
                <w14:ligatures w14:val="standardContextual"/>
              </w:rPr>
            </w:pPr>
            <w:r>
              <w:rPr>
                <w:rFonts w:ascii="Times New Roman" w:eastAsiaTheme="minorHAnsi" w:hAnsi="Times New Roman" w:cs="Times New Roman"/>
                <w:kern w:val="2"/>
                <w:lang w:eastAsia="en-US"/>
                <w14:ligatures w14:val="standardContextual"/>
              </w:rPr>
              <w:t>.460</w:t>
            </w:r>
          </w:p>
        </w:tc>
      </w:tr>
      <w:tr w:rsidR="008A5AAE" w14:paraId="1853FACB" w14:textId="77777777" w:rsidTr="00D64642">
        <w:trPr>
          <w:trHeight w:val="382"/>
        </w:trPr>
        <w:tc>
          <w:tcPr>
            <w:tcW w:w="5130" w:type="dxa"/>
          </w:tcPr>
          <w:p w14:paraId="4EBE0DB9" w14:textId="77777777" w:rsidR="008A5AAE" w:rsidRPr="00EF052D" w:rsidRDefault="008A5AAE" w:rsidP="00D64642">
            <w:pPr>
              <w:ind w:firstLine="0"/>
              <w:rPr>
                <w:rFonts w:ascii="Times New Roman" w:eastAsiaTheme="minorHAnsi" w:hAnsi="Times New Roman" w:cs="Times New Roman"/>
                <w:kern w:val="2"/>
                <w:lang w:eastAsia="en-US"/>
                <w14:ligatures w14:val="standardContextual"/>
              </w:rPr>
            </w:pPr>
            <w:r w:rsidRPr="00EF052D">
              <w:rPr>
                <w:rFonts w:ascii="Times New Roman" w:eastAsiaTheme="minorHAnsi" w:hAnsi="Times New Roman" w:cs="Times New Roman"/>
                <w:kern w:val="2"/>
                <w:lang w:eastAsia="en-US"/>
                <w14:ligatures w14:val="standardContextual"/>
              </w:rPr>
              <w:t>Time on reservation</w:t>
            </w:r>
          </w:p>
        </w:tc>
        <w:tc>
          <w:tcPr>
            <w:tcW w:w="949" w:type="dxa"/>
          </w:tcPr>
          <w:p w14:paraId="6C2153D6" w14:textId="77777777" w:rsidR="008A5AAE" w:rsidRPr="00EF052D" w:rsidRDefault="008A5AAE" w:rsidP="00D64642">
            <w:pPr>
              <w:ind w:firstLine="0"/>
              <w:jc w:val="center"/>
              <w:rPr>
                <w:rFonts w:ascii="Times New Roman" w:eastAsiaTheme="minorHAnsi" w:hAnsi="Times New Roman" w:cs="Times New Roman"/>
                <w:kern w:val="2"/>
                <w:lang w:eastAsia="en-US"/>
                <w14:ligatures w14:val="standardContextual"/>
              </w:rPr>
            </w:pPr>
            <w:r>
              <w:rPr>
                <w:rFonts w:ascii="Times New Roman" w:eastAsiaTheme="minorHAnsi" w:hAnsi="Times New Roman" w:cs="Times New Roman"/>
                <w:kern w:val="2"/>
                <w:lang w:eastAsia="en-US"/>
                <w14:ligatures w14:val="standardContextual"/>
              </w:rPr>
              <w:t>.20</w:t>
            </w:r>
          </w:p>
        </w:tc>
        <w:tc>
          <w:tcPr>
            <w:tcW w:w="949" w:type="dxa"/>
          </w:tcPr>
          <w:p w14:paraId="559A2C95" w14:textId="77777777" w:rsidR="008A5AAE" w:rsidRPr="00EF052D" w:rsidRDefault="008A5AAE" w:rsidP="00D64642">
            <w:pPr>
              <w:ind w:firstLine="0"/>
              <w:jc w:val="center"/>
              <w:rPr>
                <w:rFonts w:ascii="Times New Roman" w:eastAsiaTheme="minorHAnsi" w:hAnsi="Times New Roman" w:cs="Times New Roman"/>
                <w:kern w:val="2"/>
                <w:lang w:eastAsia="en-US"/>
                <w14:ligatures w14:val="standardContextual"/>
              </w:rPr>
            </w:pPr>
            <w:r>
              <w:rPr>
                <w:rFonts w:ascii="Times New Roman" w:eastAsiaTheme="minorHAnsi" w:hAnsi="Times New Roman" w:cs="Times New Roman"/>
                <w:kern w:val="2"/>
                <w:lang w:eastAsia="en-US"/>
                <w14:ligatures w14:val="standardContextual"/>
              </w:rPr>
              <w:t>.21</w:t>
            </w:r>
          </w:p>
        </w:tc>
        <w:tc>
          <w:tcPr>
            <w:tcW w:w="949" w:type="dxa"/>
          </w:tcPr>
          <w:p w14:paraId="16AD2314" w14:textId="77777777" w:rsidR="008A5AAE" w:rsidRPr="00EF052D" w:rsidRDefault="008A5AAE" w:rsidP="00D64642">
            <w:pPr>
              <w:ind w:firstLine="0"/>
              <w:jc w:val="center"/>
              <w:rPr>
                <w:rFonts w:ascii="Times New Roman" w:eastAsiaTheme="minorHAnsi" w:hAnsi="Times New Roman" w:cs="Times New Roman"/>
                <w:kern w:val="2"/>
                <w:lang w:eastAsia="en-US"/>
                <w14:ligatures w14:val="standardContextual"/>
              </w:rPr>
            </w:pPr>
            <w:r>
              <w:rPr>
                <w:rFonts w:ascii="Times New Roman" w:eastAsiaTheme="minorHAnsi" w:hAnsi="Times New Roman" w:cs="Times New Roman"/>
                <w:kern w:val="2"/>
                <w:lang w:eastAsia="en-US"/>
                <w14:ligatures w14:val="standardContextual"/>
              </w:rPr>
              <w:t>.39</w:t>
            </w:r>
          </w:p>
        </w:tc>
        <w:tc>
          <w:tcPr>
            <w:tcW w:w="949" w:type="dxa"/>
          </w:tcPr>
          <w:p w14:paraId="0B276CAB" w14:textId="77777777" w:rsidR="008A5AAE" w:rsidRPr="00EF052D" w:rsidRDefault="008A5AAE" w:rsidP="00D64642">
            <w:pPr>
              <w:ind w:firstLine="0"/>
              <w:jc w:val="center"/>
              <w:rPr>
                <w:rFonts w:ascii="Times New Roman" w:eastAsiaTheme="minorHAnsi" w:hAnsi="Times New Roman" w:cs="Times New Roman"/>
                <w:kern w:val="2"/>
                <w:lang w:eastAsia="en-US"/>
                <w14:ligatures w14:val="standardContextual"/>
              </w:rPr>
            </w:pPr>
            <w:r>
              <w:rPr>
                <w:rFonts w:ascii="Times New Roman" w:eastAsiaTheme="minorHAnsi" w:hAnsi="Times New Roman" w:cs="Times New Roman"/>
                <w:kern w:val="2"/>
                <w:lang w:eastAsia="en-US"/>
                <w14:ligatures w14:val="standardContextual"/>
              </w:rPr>
              <w:t>1.21</w:t>
            </w:r>
          </w:p>
        </w:tc>
        <w:tc>
          <w:tcPr>
            <w:tcW w:w="950" w:type="dxa"/>
          </w:tcPr>
          <w:p w14:paraId="02808AA8" w14:textId="77777777" w:rsidR="008A5AAE" w:rsidRPr="00EF052D" w:rsidRDefault="008A5AAE" w:rsidP="00D64642">
            <w:pPr>
              <w:ind w:firstLine="0"/>
              <w:jc w:val="center"/>
              <w:rPr>
                <w:rFonts w:ascii="Times New Roman" w:eastAsiaTheme="minorHAnsi" w:hAnsi="Times New Roman" w:cs="Times New Roman"/>
                <w:kern w:val="2"/>
                <w:lang w:eastAsia="en-US"/>
                <w14:ligatures w14:val="standardContextual"/>
              </w:rPr>
            </w:pPr>
            <w:r>
              <w:rPr>
                <w:rFonts w:ascii="Times New Roman" w:eastAsiaTheme="minorHAnsi" w:hAnsi="Times New Roman" w:cs="Times New Roman"/>
                <w:kern w:val="2"/>
                <w:lang w:eastAsia="en-US"/>
                <w14:ligatures w14:val="standardContextual"/>
              </w:rPr>
              <w:t>&lt;.001</w:t>
            </w:r>
          </w:p>
        </w:tc>
      </w:tr>
      <w:tr w:rsidR="008A5AAE" w14:paraId="2CBD9447" w14:textId="77777777" w:rsidTr="00D64642">
        <w:trPr>
          <w:trHeight w:val="382"/>
        </w:trPr>
        <w:tc>
          <w:tcPr>
            <w:tcW w:w="5130" w:type="dxa"/>
          </w:tcPr>
          <w:p w14:paraId="68C8F438" w14:textId="77777777" w:rsidR="008A5AAE" w:rsidRPr="00EF052D" w:rsidRDefault="008A5AAE" w:rsidP="00D64642">
            <w:pPr>
              <w:ind w:firstLine="0"/>
              <w:rPr>
                <w:rFonts w:ascii="Times New Roman" w:eastAsiaTheme="minorHAnsi" w:hAnsi="Times New Roman" w:cs="Times New Roman"/>
                <w:kern w:val="2"/>
                <w:lang w:eastAsia="en-US"/>
                <w14:ligatures w14:val="standardContextual"/>
              </w:rPr>
            </w:pPr>
            <w:r w:rsidRPr="00EF052D">
              <w:rPr>
                <w:rFonts w:ascii="Times New Roman" w:eastAsiaTheme="minorHAnsi" w:hAnsi="Times New Roman" w:cs="Times New Roman"/>
                <w:kern w:val="2"/>
                <w:lang w:eastAsia="en-US"/>
                <w14:ligatures w14:val="standardContextual"/>
              </w:rPr>
              <w:t>Feelings of safety growing up</w:t>
            </w:r>
          </w:p>
        </w:tc>
        <w:tc>
          <w:tcPr>
            <w:tcW w:w="949" w:type="dxa"/>
          </w:tcPr>
          <w:p w14:paraId="004DFB37" w14:textId="77777777" w:rsidR="008A5AAE" w:rsidRPr="00EF052D" w:rsidRDefault="008A5AAE" w:rsidP="00D64642">
            <w:pPr>
              <w:ind w:firstLine="0"/>
              <w:jc w:val="center"/>
              <w:rPr>
                <w:rFonts w:ascii="Times New Roman" w:eastAsiaTheme="minorHAnsi" w:hAnsi="Times New Roman" w:cs="Times New Roman"/>
                <w:kern w:val="2"/>
                <w:lang w:eastAsia="en-US"/>
                <w14:ligatures w14:val="standardContextual"/>
              </w:rPr>
            </w:pPr>
            <w:r>
              <w:rPr>
                <w:rFonts w:ascii="Times New Roman" w:eastAsiaTheme="minorHAnsi" w:hAnsi="Times New Roman" w:cs="Times New Roman"/>
                <w:kern w:val="2"/>
                <w:lang w:eastAsia="en-US"/>
                <w14:ligatures w14:val="standardContextual"/>
              </w:rPr>
              <w:t>-.04</w:t>
            </w:r>
          </w:p>
        </w:tc>
        <w:tc>
          <w:tcPr>
            <w:tcW w:w="949" w:type="dxa"/>
          </w:tcPr>
          <w:p w14:paraId="4AAB0B8D" w14:textId="77777777" w:rsidR="008A5AAE" w:rsidRPr="00EF052D" w:rsidRDefault="008A5AAE" w:rsidP="00D64642">
            <w:pPr>
              <w:ind w:firstLine="0"/>
              <w:jc w:val="center"/>
              <w:rPr>
                <w:rFonts w:ascii="Times New Roman" w:eastAsiaTheme="minorHAnsi" w:hAnsi="Times New Roman" w:cs="Times New Roman"/>
                <w:kern w:val="2"/>
                <w:lang w:eastAsia="en-US"/>
                <w14:ligatures w14:val="standardContextual"/>
              </w:rPr>
            </w:pPr>
            <w:r>
              <w:rPr>
                <w:rFonts w:ascii="Times New Roman" w:eastAsiaTheme="minorHAnsi" w:hAnsi="Times New Roman" w:cs="Times New Roman"/>
                <w:kern w:val="2"/>
                <w:lang w:eastAsia="en-US"/>
                <w14:ligatures w14:val="standardContextual"/>
              </w:rPr>
              <w:t>.20</w:t>
            </w:r>
          </w:p>
        </w:tc>
        <w:tc>
          <w:tcPr>
            <w:tcW w:w="949" w:type="dxa"/>
          </w:tcPr>
          <w:p w14:paraId="1EE6FE43" w14:textId="77777777" w:rsidR="008A5AAE" w:rsidRPr="00EF052D" w:rsidRDefault="008A5AAE" w:rsidP="00D64642">
            <w:pPr>
              <w:ind w:firstLine="0"/>
              <w:jc w:val="center"/>
              <w:rPr>
                <w:rFonts w:ascii="Times New Roman" w:eastAsiaTheme="minorHAnsi" w:hAnsi="Times New Roman" w:cs="Times New Roman"/>
                <w:kern w:val="2"/>
                <w:lang w:eastAsia="en-US"/>
                <w14:ligatures w14:val="standardContextual"/>
              </w:rPr>
            </w:pPr>
            <w:r>
              <w:rPr>
                <w:rFonts w:ascii="Times New Roman" w:eastAsiaTheme="minorHAnsi" w:hAnsi="Times New Roman" w:cs="Times New Roman"/>
                <w:kern w:val="2"/>
                <w:lang w:eastAsia="en-US"/>
                <w14:ligatures w14:val="standardContextual"/>
              </w:rPr>
              <w:t>-.43</w:t>
            </w:r>
          </w:p>
        </w:tc>
        <w:tc>
          <w:tcPr>
            <w:tcW w:w="949" w:type="dxa"/>
          </w:tcPr>
          <w:p w14:paraId="1EB510A1" w14:textId="77777777" w:rsidR="008A5AAE" w:rsidRPr="00EF052D" w:rsidRDefault="008A5AAE" w:rsidP="00D64642">
            <w:pPr>
              <w:ind w:firstLine="0"/>
              <w:jc w:val="center"/>
              <w:rPr>
                <w:rFonts w:ascii="Times New Roman" w:eastAsiaTheme="minorHAnsi" w:hAnsi="Times New Roman" w:cs="Times New Roman"/>
                <w:kern w:val="2"/>
                <w:lang w:eastAsia="en-US"/>
                <w14:ligatures w14:val="standardContextual"/>
              </w:rPr>
            </w:pPr>
            <w:r>
              <w:rPr>
                <w:rFonts w:ascii="Times New Roman" w:eastAsiaTheme="minorHAnsi" w:hAnsi="Times New Roman" w:cs="Times New Roman"/>
                <w:kern w:val="2"/>
                <w:lang w:eastAsia="en-US"/>
                <w14:ligatures w14:val="standardContextual"/>
              </w:rPr>
              <w:t>.34</w:t>
            </w:r>
          </w:p>
        </w:tc>
        <w:tc>
          <w:tcPr>
            <w:tcW w:w="950" w:type="dxa"/>
          </w:tcPr>
          <w:p w14:paraId="234BC47C" w14:textId="77777777" w:rsidR="008A5AAE" w:rsidRPr="00EF052D" w:rsidRDefault="008A5AAE" w:rsidP="00D64642">
            <w:pPr>
              <w:ind w:firstLine="0"/>
              <w:jc w:val="center"/>
              <w:rPr>
                <w:rFonts w:ascii="Times New Roman" w:eastAsiaTheme="minorHAnsi" w:hAnsi="Times New Roman" w:cs="Times New Roman"/>
                <w:kern w:val="2"/>
                <w:lang w:eastAsia="en-US"/>
                <w14:ligatures w14:val="standardContextual"/>
              </w:rPr>
            </w:pPr>
            <w:r>
              <w:rPr>
                <w:rFonts w:ascii="Times New Roman" w:eastAsiaTheme="minorHAnsi" w:hAnsi="Times New Roman" w:cs="Times New Roman"/>
                <w:kern w:val="2"/>
                <w:lang w:eastAsia="en-US"/>
                <w14:ligatures w14:val="standardContextual"/>
              </w:rPr>
              <w:t>.818</w:t>
            </w:r>
          </w:p>
        </w:tc>
      </w:tr>
      <w:tr w:rsidR="008A5AAE" w14:paraId="3AE59DB4" w14:textId="77777777" w:rsidTr="00D64642">
        <w:trPr>
          <w:trHeight w:val="382"/>
        </w:trPr>
        <w:tc>
          <w:tcPr>
            <w:tcW w:w="5130" w:type="dxa"/>
            <w:tcBorders>
              <w:bottom w:val="single" w:sz="4" w:space="0" w:color="auto"/>
            </w:tcBorders>
          </w:tcPr>
          <w:p w14:paraId="7FEE295A" w14:textId="77777777" w:rsidR="008A5AAE" w:rsidRPr="00EF052D" w:rsidRDefault="008A5AAE" w:rsidP="00D64642">
            <w:pPr>
              <w:ind w:firstLine="0"/>
              <w:rPr>
                <w:rFonts w:ascii="Times New Roman" w:eastAsiaTheme="minorHAnsi" w:hAnsi="Times New Roman" w:cs="Times New Roman"/>
                <w:kern w:val="2"/>
                <w:lang w:eastAsia="en-US"/>
                <w14:ligatures w14:val="standardContextual"/>
              </w:rPr>
            </w:pPr>
            <w:r w:rsidRPr="00EF052D">
              <w:rPr>
                <w:rFonts w:ascii="Times New Roman" w:eastAsiaTheme="minorHAnsi" w:hAnsi="Times New Roman" w:cs="Times New Roman"/>
                <w:kern w:val="2"/>
                <w:lang w:eastAsia="en-US"/>
                <w14:ligatures w14:val="standardContextual"/>
              </w:rPr>
              <w:t>Feelings of safety in home</w:t>
            </w:r>
          </w:p>
        </w:tc>
        <w:tc>
          <w:tcPr>
            <w:tcW w:w="949" w:type="dxa"/>
            <w:tcBorders>
              <w:bottom w:val="single" w:sz="4" w:space="0" w:color="auto"/>
            </w:tcBorders>
          </w:tcPr>
          <w:p w14:paraId="6EB55F6C" w14:textId="77777777" w:rsidR="008A5AAE" w:rsidRPr="00EF052D" w:rsidRDefault="008A5AAE" w:rsidP="00D64642">
            <w:pPr>
              <w:ind w:firstLine="0"/>
              <w:jc w:val="center"/>
              <w:rPr>
                <w:rFonts w:ascii="Times New Roman" w:eastAsiaTheme="minorHAnsi" w:hAnsi="Times New Roman" w:cs="Times New Roman"/>
                <w:kern w:val="2"/>
                <w:lang w:eastAsia="en-US"/>
                <w14:ligatures w14:val="standardContextual"/>
              </w:rPr>
            </w:pPr>
            <w:r>
              <w:rPr>
                <w:rFonts w:ascii="Times New Roman" w:eastAsiaTheme="minorHAnsi" w:hAnsi="Times New Roman" w:cs="Times New Roman"/>
                <w:kern w:val="2"/>
                <w:lang w:eastAsia="en-US"/>
                <w14:ligatures w14:val="standardContextual"/>
              </w:rPr>
              <w:t>.16</w:t>
            </w:r>
          </w:p>
        </w:tc>
        <w:tc>
          <w:tcPr>
            <w:tcW w:w="949" w:type="dxa"/>
            <w:tcBorders>
              <w:bottom w:val="single" w:sz="4" w:space="0" w:color="auto"/>
            </w:tcBorders>
          </w:tcPr>
          <w:p w14:paraId="3F1AAAA5" w14:textId="77777777" w:rsidR="008A5AAE" w:rsidRPr="00EF052D" w:rsidRDefault="008A5AAE" w:rsidP="00D64642">
            <w:pPr>
              <w:ind w:firstLine="0"/>
              <w:jc w:val="center"/>
              <w:rPr>
                <w:rFonts w:ascii="Times New Roman" w:eastAsiaTheme="minorHAnsi" w:hAnsi="Times New Roman" w:cs="Times New Roman"/>
                <w:kern w:val="2"/>
                <w:lang w:eastAsia="en-US"/>
                <w14:ligatures w14:val="standardContextual"/>
              </w:rPr>
            </w:pPr>
            <w:r>
              <w:rPr>
                <w:rFonts w:ascii="Times New Roman" w:eastAsiaTheme="minorHAnsi" w:hAnsi="Times New Roman" w:cs="Times New Roman"/>
                <w:kern w:val="2"/>
                <w:lang w:eastAsia="en-US"/>
                <w14:ligatures w14:val="standardContextual"/>
              </w:rPr>
              <w:t>.21</w:t>
            </w:r>
          </w:p>
        </w:tc>
        <w:tc>
          <w:tcPr>
            <w:tcW w:w="949" w:type="dxa"/>
            <w:tcBorders>
              <w:bottom w:val="single" w:sz="4" w:space="0" w:color="auto"/>
            </w:tcBorders>
          </w:tcPr>
          <w:p w14:paraId="7D1151E1" w14:textId="77777777" w:rsidR="008A5AAE" w:rsidRPr="00EF052D" w:rsidRDefault="008A5AAE" w:rsidP="00D64642">
            <w:pPr>
              <w:ind w:firstLine="0"/>
              <w:jc w:val="center"/>
              <w:rPr>
                <w:rFonts w:ascii="Times New Roman" w:eastAsiaTheme="minorHAnsi" w:hAnsi="Times New Roman" w:cs="Times New Roman"/>
                <w:kern w:val="2"/>
                <w:lang w:eastAsia="en-US"/>
                <w14:ligatures w14:val="standardContextual"/>
              </w:rPr>
            </w:pPr>
            <w:r>
              <w:rPr>
                <w:rFonts w:ascii="Times New Roman" w:eastAsiaTheme="minorHAnsi" w:hAnsi="Times New Roman" w:cs="Times New Roman"/>
                <w:kern w:val="2"/>
                <w:lang w:eastAsia="en-US"/>
                <w14:ligatures w14:val="standardContextual"/>
              </w:rPr>
              <w:t>-.22</w:t>
            </w:r>
          </w:p>
        </w:tc>
        <w:tc>
          <w:tcPr>
            <w:tcW w:w="949" w:type="dxa"/>
            <w:tcBorders>
              <w:bottom w:val="single" w:sz="4" w:space="0" w:color="auto"/>
            </w:tcBorders>
          </w:tcPr>
          <w:p w14:paraId="1C7F320E" w14:textId="77777777" w:rsidR="008A5AAE" w:rsidRPr="00EF052D" w:rsidRDefault="008A5AAE" w:rsidP="00D64642">
            <w:pPr>
              <w:ind w:firstLine="0"/>
              <w:jc w:val="center"/>
              <w:rPr>
                <w:rFonts w:ascii="Times New Roman" w:eastAsiaTheme="minorHAnsi" w:hAnsi="Times New Roman" w:cs="Times New Roman"/>
                <w:kern w:val="2"/>
                <w:lang w:eastAsia="en-US"/>
                <w14:ligatures w14:val="standardContextual"/>
              </w:rPr>
            </w:pPr>
            <w:r>
              <w:rPr>
                <w:rFonts w:ascii="Times New Roman" w:eastAsiaTheme="minorHAnsi" w:hAnsi="Times New Roman" w:cs="Times New Roman"/>
                <w:kern w:val="2"/>
                <w:lang w:eastAsia="en-US"/>
                <w14:ligatures w14:val="standardContextual"/>
              </w:rPr>
              <w:t>.59</w:t>
            </w:r>
          </w:p>
        </w:tc>
        <w:tc>
          <w:tcPr>
            <w:tcW w:w="950" w:type="dxa"/>
            <w:tcBorders>
              <w:bottom w:val="single" w:sz="4" w:space="0" w:color="auto"/>
            </w:tcBorders>
          </w:tcPr>
          <w:p w14:paraId="56B00CBD" w14:textId="77777777" w:rsidR="008A5AAE" w:rsidRPr="00EF052D" w:rsidRDefault="008A5AAE" w:rsidP="00D64642">
            <w:pPr>
              <w:ind w:firstLine="0"/>
              <w:jc w:val="center"/>
              <w:rPr>
                <w:rFonts w:ascii="Times New Roman" w:eastAsiaTheme="minorHAnsi" w:hAnsi="Times New Roman" w:cs="Times New Roman"/>
                <w:kern w:val="2"/>
                <w:lang w:eastAsia="en-US"/>
                <w14:ligatures w14:val="standardContextual"/>
              </w:rPr>
            </w:pPr>
            <w:r>
              <w:rPr>
                <w:rFonts w:ascii="Times New Roman" w:eastAsiaTheme="minorHAnsi" w:hAnsi="Times New Roman" w:cs="Times New Roman"/>
                <w:kern w:val="2"/>
                <w:lang w:eastAsia="en-US"/>
                <w14:ligatures w14:val="standardContextual"/>
              </w:rPr>
              <w:t>.361</w:t>
            </w:r>
          </w:p>
        </w:tc>
      </w:tr>
    </w:tbl>
    <w:p w14:paraId="15DFE393" w14:textId="77777777" w:rsidR="008A5AAE" w:rsidRDefault="008A5AAE" w:rsidP="008A5AAE">
      <w:pPr>
        <w:ind w:firstLine="0"/>
        <w:rPr>
          <w:rFonts w:ascii="Times New Roman" w:hAnsi="Times New Roman" w:cs="Times New Roman"/>
        </w:rPr>
      </w:pPr>
      <w:r w:rsidRPr="00EF052D">
        <w:rPr>
          <w:rFonts w:ascii="Times New Roman" w:hAnsi="Times New Roman" w:cs="Times New Roman"/>
          <w:i/>
          <w:iCs/>
        </w:rPr>
        <w:t>Note</w:t>
      </w:r>
      <w:r w:rsidRPr="00EF052D">
        <w:rPr>
          <w:rFonts w:ascii="Times New Roman" w:hAnsi="Times New Roman" w:cs="Times New Roman"/>
        </w:rPr>
        <w:t xml:space="preserve">. </w:t>
      </w:r>
      <w:r>
        <w:rPr>
          <w:rFonts w:ascii="Times New Roman" w:hAnsi="Times New Roman" w:cs="Times New Roman"/>
        </w:rPr>
        <w:t>T</w:t>
      </w:r>
      <w:r w:rsidRPr="00EF052D">
        <w:rPr>
          <w:rFonts w:ascii="Times New Roman" w:hAnsi="Times New Roman" w:cs="Times New Roman"/>
        </w:rPr>
        <w:t>otal </w:t>
      </w:r>
      <w:r w:rsidRPr="00EF052D">
        <w:rPr>
          <w:rFonts w:ascii="Times New Roman" w:hAnsi="Times New Roman" w:cs="Times New Roman"/>
          <w:i/>
          <w:iCs/>
        </w:rPr>
        <w:t>N</w:t>
      </w:r>
      <w:r w:rsidRPr="00EF052D">
        <w:rPr>
          <w:rFonts w:ascii="Times New Roman" w:hAnsi="Times New Roman" w:cs="Times New Roman"/>
        </w:rPr>
        <w:t xml:space="preserve"> = </w:t>
      </w:r>
      <w:r>
        <w:rPr>
          <w:rFonts w:ascii="Times New Roman" w:hAnsi="Times New Roman" w:cs="Times New Roman"/>
        </w:rPr>
        <w:t>394</w:t>
      </w:r>
      <w:r w:rsidRPr="00EF052D">
        <w:rPr>
          <w:rFonts w:ascii="Times New Roman" w:hAnsi="Times New Roman" w:cs="Times New Roman"/>
        </w:rPr>
        <w:t xml:space="preserve">. </w:t>
      </w:r>
      <w:r>
        <w:rPr>
          <w:rFonts w:ascii="Times New Roman" w:hAnsi="Times New Roman" w:cs="Times New Roman"/>
        </w:rPr>
        <w:t xml:space="preserve">FTS = Flip the Script; </w:t>
      </w:r>
      <w:r w:rsidRPr="00EF052D">
        <w:rPr>
          <w:rFonts w:ascii="Times New Roman" w:hAnsi="Times New Roman" w:cs="Times New Roman"/>
        </w:rPr>
        <w:t>CI = confidence interval; </w:t>
      </w:r>
      <w:r w:rsidRPr="00EF052D">
        <w:rPr>
          <w:rFonts w:ascii="Times New Roman" w:hAnsi="Times New Roman" w:cs="Times New Roman"/>
          <w:i/>
          <w:iCs/>
        </w:rPr>
        <w:t>LL</w:t>
      </w:r>
      <w:r w:rsidRPr="00EF052D">
        <w:rPr>
          <w:rFonts w:ascii="Times New Roman" w:hAnsi="Times New Roman" w:cs="Times New Roman"/>
        </w:rPr>
        <w:t> = lower limit; </w:t>
      </w:r>
      <w:r w:rsidRPr="00EF052D">
        <w:rPr>
          <w:rFonts w:ascii="Times New Roman" w:hAnsi="Times New Roman" w:cs="Times New Roman"/>
          <w:i/>
          <w:iCs/>
        </w:rPr>
        <w:t>UL</w:t>
      </w:r>
      <w:r w:rsidRPr="00EF052D">
        <w:rPr>
          <w:rFonts w:ascii="Times New Roman" w:hAnsi="Times New Roman" w:cs="Times New Roman"/>
        </w:rPr>
        <w:t> = upper limit.</w:t>
      </w:r>
    </w:p>
    <w:p w14:paraId="492A486E" w14:textId="77777777" w:rsidR="008A5AAE" w:rsidRDefault="008A5AAE" w:rsidP="008A5AAE">
      <w:pPr>
        <w:rPr>
          <w:rFonts w:ascii="Times New Roman" w:hAnsi="Times New Roman" w:cs="Times New Roman"/>
        </w:rPr>
      </w:pPr>
    </w:p>
    <w:p w14:paraId="577539CE" w14:textId="77777777" w:rsidR="008A5AAE" w:rsidRPr="008A5AAE" w:rsidRDefault="008A5AAE" w:rsidP="008A5AAE"/>
    <w:sectPr w:rsidR="008A5AAE" w:rsidRPr="008A5AAE" w:rsidSect="00DA7C76">
      <w:headerReference w:type="default" r:id="rId28"/>
      <w:footerReference w:type="default" r:id="rId29"/>
      <w:headerReference w:type="first" r:id="rId30"/>
      <w:footnotePr>
        <w:pos w:val="beneathText"/>
      </w:footnotePr>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130E5" w14:textId="77777777" w:rsidR="00DA7C76" w:rsidRDefault="00DA7C76">
      <w:pPr>
        <w:spacing w:line="240" w:lineRule="auto"/>
      </w:pPr>
      <w:r>
        <w:separator/>
      </w:r>
    </w:p>
    <w:p w14:paraId="7D6DAA50" w14:textId="77777777" w:rsidR="00DA7C76" w:rsidRDefault="00DA7C76"/>
  </w:endnote>
  <w:endnote w:type="continuationSeparator" w:id="0">
    <w:p w14:paraId="6F6C8FFF" w14:textId="77777777" w:rsidR="00DA7C76" w:rsidRDefault="00DA7C76">
      <w:pPr>
        <w:spacing w:line="240" w:lineRule="auto"/>
      </w:pPr>
      <w:r>
        <w:continuationSeparator/>
      </w:r>
    </w:p>
    <w:p w14:paraId="32DD2BF0" w14:textId="77777777" w:rsidR="00DA7C76" w:rsidRDefault="00DA7C76"/>
  </w:endnote>
  <w:endnote w:type="continuationNotice" w:id="1">
    <w:p w14:paraId="077D967F" w14:textId="77777777" w:rsidR="00DA7C76" w:rsidRDefault="00DA7C76">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DCEDF" w14:textId="77777777" w:rsidR="000113A7" w:rsidRDefault="000113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D6D62" w14:textId="77777777" w:rsidR="00DA7C76" w:rsidRDefault="00DA7C76">
      <w:pPr>
        <w:spacing w:line="240" w:lineRule="auto"/>
      </w:pPr>
      <w:r>
        <w:separator/>
      </w:r>
    </w:p>
    <w:p w14:paraId="439A05F8" w14:textId="77777777" w:rsidR="00DA7C76" w:rsidRDefault="00DA7C76"/>
  </w:footnote>
  <w:footnote w:type="continuationSeparator" w:id="0">
    <w:p w14:paraId="6C10D624" w14:textId="77777777" w:rsidR="00DA7C76" w:rsidRDefault="00DA7C76">
      <w:pPr>
        <w:spacing w:line="240" w:lineRule="auto"/>
      </w:pPr>
      <w:r>
        <w:continuationSeparator/>
      </w:r>
    </w:p>
    <w:p w14:paraId="5CF422C1" w14:textId="77777777" w:rsidR="00DA7C76" w:rsidRDefault="00DA7C76"/>
  </w:footnote>
  <w:footnote w:type="continuationNotice" w:id="1">
    <w:p w14:paraId="465B832C" w14:textId="77777777" w:rsidR="00DA7C76" w:rsidRDefault="00DA7C76">
      <w:pPr>
        <w:spacing w:line="240" w:lineRule="auto"/>
      </w:pPr>
    </w:p>
  </w:footnote>
  <w:footnote w:id="2">
    <w:p w14:paraId="63F165C6" w14:textId="1D4C8A55" w:rsidR="004C754A" w:rsidRDefault="004C754A">
      <w:pPr>
        <w:pStyle w:val="FootnoteText"/>
      </w:pPr>
      <w:r>
        <w:rPr>
          <w:rStyle w:val="FootnoteReference"/>
        </w:rPr>
        <w:footnoteRef/>
      </w:r>
      <w:r>
        <w:t xml:space="preserve"> Two-Spiritedness can be a gender identity or a sexual orientation, depending on the participant’s tribe and context (Purden &amp; Salway,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C48388" w14:textId="6D4104FD" w:rsidR="00E81978" w:rsidRDefault="00000000">
    <w:pPr>
      <w:pStyle w:val="Header"/>
    </w:pPr>
    <w:sdt>
      <w:sdtPr>
        <w:rPr>
          <w:rStyle w:val="Strong"/>
        </w:rPr>
        <w:alias w:val="Running head"/>
        <w:tag w:val=""/>
        <w:id w:val="12739865"/>
        <w:placeholder>
          <w:docPart w:val="758FD7A1649B4D0A9D3AFC4B3EE3B8E0"/>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949F5">
          <w:rPr>
            <w:rStyle w:val="Strong"/>
          </w:rPr>
          <w:t>SOVEREIGNTY FOR YOUR BODY</w:t>
        </w:r>
      </w:sdtContent>
    </w:sdt>
    <w:r w:rsidR="005D3A03">
      <w:rPr>
        <w:rStyle w:val="Strong"/>
      </w:rP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900684">
      <w:rPr>
        <w:rStyle w:val="Strong"/>
        <w:noProof/>
      </w:rPr>
      <w:t>11</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B176D" w14:textId="676F0A6F" w:rsidR="00E81978" w:rsidRDefault="005D3A03">
    <w:pPr>
      <w:pStyle w:val="Header"/>
      <w:rPr>
        <w:rStyle w:val="Strong"/>
      </w:rPr>
    </w:pPr>
    <w:r>
      <w:t xml:space="preserve">Running head: </w:t>
    </w:r>
    <w:sdt>
      <w:sdtPr>
        <w:rPr>
          <w:rStyle w:val="Strong"/>
        </w:rPr>
        <w:alias w:val="Running head"/>
        <w:tag w:val=""/>
        <w:id w:val="-696842620"/>
        <w:placeholder>
          <w:docPart w:val="40213EFCBDA44400836F59D6269A9883"/>
        </w:placeholder>
        <w:dataBinding w:prefixMappings="xmlns:ns0='http://schemas.microsoft.com/office/2006/coverPageProps' " w:xpath="/ns0:CoverPageProperties[1]/ns0:Abstract[1]" w:storeItemID="{55AF091B-3C7A-41E3-B477-F2FDAA23CFDA}"/>
        <w15:appearance w15:val="hidden"/>
        <w:text/>
      </w:sdtPr>
      <w:sdtEndPr>
        <w:rPr>
          <w:rStyle w:val="DefaultParagraphFont"/>
          <w:caps w:val="0"/>
        </w:rPr>
      </w:sdtEndPr>
      <w:sdtContent>
        <w:r w:rsidR="00C949F5">
          <w:rPr>
            <w:rStyle w:val="Strong"/>
          </w:rPr>
          <w:t>SOVEREIGNTY FOR YOUR BODY</w:t>
        </w:r>
      </w:sdtContent>
    </w:sdt>
    <w:r>
      <w:rPr>
        <w:rStyle w:val="Strong"/>
      </w:rP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55409A">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9"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0"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1"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628437785">
    <w:abstractNumId w:val="9"/>
  </w:num>
  <w:num w:numId="2" w16cid:durableId="921793941">
    <w:abstractNumId w:val="7"/>
  </w:num>
  <w:num w:numId="3" w16cid:durableId="227611393">
    <w:abstractNumId w:val="6"/>
  </w:num>
  <w:num w:numId="4" w16cid:durableId="354770180">
    <w:abstractNumId w:val="5"/>
  </w:num>
  <w:num w:numId="5" w16cid:durableId="1684897538">
    <w:abstractNumId w:val="4"/>
  </w:num>
  <w:num w:numId="6" w16cid:durableId="989335251">
    <w:abstractNumId w:val="8"/>
  </w:num>
  <w:num w:numId="7" w16cid:durableId="1957907938">
    <w:abstractNumId w:val="3"/>
  </w:num>
  <w:num w:numId="8" w16cid:durableId="603264372">
    <w:abstractNumId w:val="2"/>
  </w:num>
  <w:num w:numId="9" w16cid:durableId="11733642">
    <w:abstractNumId w:val="1"/>
  </w:num>
  <w:num w:numId="10" w16cid:durableId="1293362920">
    <w:abstractNumId w:val="0"/>
  </w:num>
  <w:num w:numId="11" w16cid:durableId="1225603681">
    <w:abstractNumId w:val="9"/>
    <w:lvlOverride w:ilvl="0">
      <w:startOverride w:val="1"/>
    </w:lvlOverride>
  </w:num>
  <w:num w:numId="12" w16cid:durableId="1963877023">
    <w:abstractNumId w:val="13"/>
  </w:num>
  <w:num w:numId="13" w16cid:durableId="300161207">
    <w:abstractNumId w:val="11"/>
  </w:num>
  <w:num w:numId="14" w16cid:durableId="544488500">
    <w:abstractNumId w:val="10"/>
  </w:num>
  <w:num w:numId="15" w16cid:durableId="149541658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attachedTemplate r:id="rId1"/>
  <w:defaultTabStop w:val="720"/>
  <w:characterSpacingControl w:val="doNotCompress"/>
  <w:hdrShapeDefaults>
    <o:shapedefaults v:ext="edit" spidmax="2050"/>
  </w:hdrShapeDefaults>
  <w:footnotePr>
    <w:pos w:val="beneathTex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1MDQ0MDE2MDY3NTNX0lEKTi0uzszPAykwMq4FAB5TQDEtAAAA"/>
  </w:docVars>
  <w:rsids>
    <w:rsidRoot w:val="00351A3B"/>
    <w:rsid w:val="00007D04"/>
    <w:rsid w:val="00007D76"/>
    <w:rsid w:val="000113A7"/>
    <w:rsid w:val="00012D40"/>
    <w:rsid w:val="00014F8F"/>
    <w:rsid w:val="00016F42"/>
    <w:rsid w:val="0001797B"/>
    <w:rsid w:val="000257EC"/>
    <w:rsid w:val="00027E47"/>
    <w:rsid w:val="00030043"/>
    <w:rsid w:val="00030354"/>
    <w:rsid w:val="000310F0"/>
    <w:rsid w:val="000319BD"/>
    <w:rsid w:val="00033960"/>
    <w:rsid w:val="00036F8E"/>
    <w:rsid w:val="00037DA1"/>
    <w:rsid w:val="0004491D"/>
    <w:rsid w:val="000625B5"/>
    <w:rsid w:val="00084816"/>
    <w:rsid w:val="0008521A"/>
    <w:rsid w:val="00092896"/>
    <w:rsid w:val="0009405F"/>
    <w:rsid w:val="000A0E89"/>
    <w:rsid w:val="000A2A3F"/>
    <w:rsid w:val="000A34F8"/>
    <w:rsid w:val="000A42F9"/>
    <w:rsid w:val="000A55A5"/>
    <w:rsid w:val="000A76BA"/>
    <w:rsid w:val="000B3910"/>
    <w:rsid w:val="000B44DB"/>
    <w:rsid w:val="000C2946"/>
    <w:rsid w:val="000D0BEF"/>
    <w:rsid w:val="000D2654"/>
    <w:rsid w:val="000D3AD9"/>
    <w:rsid w:val="000D3F41"/>
    <w:rsid w:val="000D4294"/>
    <w:rsid w:val="000E1ADB"/>
    <w:rsid w:val="000E1D24"/>
    <w:rsid w:val="000E4ABB"/>
    <w:rsid w:val="000E4FCC"/>
    <w:rsid w:val="000E7DBA"/>
    <w:rsid w:val="000F291B"/>
    <w:rsid w:val="000F4974"/>
    <w:rsid w:val="00100A4E"/>
    <w:rsid w:val="00100BC8"/>
    <w:rsid w:val="0011789B"/>
    <w:rsid w:val="00123E65"/>
    <w:rsid w:val="00124D03"/>
    <w:rsid w:val="001404A3"/>
    <w:rsid w:val="001604AC"/>
    <w:rsid w:val="00167E7B"/>
    <w:rsid w:val="00175D17"/>
    <w:rsid w:val="00175DA2"/>
    <w:rsid w:val="00182718"/>
    <w:rsid w:val="001830F6"/>
    <w:rsid w:val="001835E1"/>
    <w:rsid w:val="001857B9"/>
    <w:rsid w:val="00197E45"/>
    <w:rsid w:val="001A2AB1"/>
    <w:rsid w:val="001A6B11"/>
    <w:rsid w:val="001B02E0"/>
    <w:rsid w:val="001B5364"/>
    <w:rsid w:val="001B72D8"/>
    <w:rsid w:val="001C2221"/>
    <w:rsid w:val="001C2DAD"/>
    <w:rsid w:val="001C3B76"/>
    <w:rsid w:val="001C45D5"/>
    <w:rsid w:val="001C6F78"/>
    <w:rsid w:val="001D3273"/>
    <w:rsid w:val="001E0FEF"/>
    <w:rsid w:val="001E4939"/>
    <w:rsid w:val="001E4F35"/>
    <w:rsid w:val="001E512F"/>
    <w:rsid w:val="001E6ABA"/>
    <w:rsid w:val="001F7B18"/>
    <w:rsid w:val="00227FDC"/>
    <w:rsid w:val="0023018A"/>
    <w:rsid w:val="00234AB0"/>
    <w:rsid w:val="00240938"/>
    <w:rsid w:val="002420C4"/>
    <w:rsid w:val="00255347"/>
    <w:rsid w:val="002578FE"/>
    <w:rsid w:val="0026365B"/>
    <w:rsid w:val="00266101"/>
    <w:rsid w:val="002830F0"/>
    <w:rsid w:val="00286C76"/>
    <w:rsid w:val="002914CD"/>
    <w:rsid w:val="00294FB6"/>
    <w:rsid w:val="002A35BC"/>
    <w:rsid w:val="002A3B66"/>
    <w:rsid w:val="002A652E"/>
    <w:rsid w:val="002A6FD4"/>
    <w:rsid w:val="002D0971"/>
    <w:rsid w:val="002D0B43"/>
    <w:rsid w:val="002D2E83"/>
    <w:rsid w:val="002D4D49"/>
    <w:rsid w:val="002D4E7F"/>
    <w:rsid w:val="002F0D09"/>
    <w:rsid w:val="002F0E13"/>
    <w:rsid w:val="002F3FDF"/>
    <w:rsid w:val="002F7DCE"/>
    <w:rsid w:val="00302D58"/>
    <w:rsid w:val="0031328E"/>
    <w:rsid w:val="0031534B"/>
    <w:rsid w:val="00315A4B"/>
    <w:rsid w:val="003164B1"/>
    <w:rsid w:val="00317E7C"/>
    <w:rsid w:val="003238D9"/>
    <w:rsid w:val="00323CAA"/>
    <w:rsid w:val="00341BCA"/>
    <w:rsid w:val="003444B0"/>
    <w:rsid w:val="003474A5"/>
    <w:rsid w:val="00351A3B"/>
    <w:rsid w:val="003529A6"/>
    <w:rsid w:val="00353777"/>
    <w:rsid w:val="00353854"/>
    <w:rsid w:val="00355DCA"/>
    <w:rsid w:val="00361D30"/>
    <w:rsid w:val="00362010"/>
    <w:rsid w:val="00363EDE"/>
    <w:rsid w:val="003652DB"/>
    <w:rsid w:val="0036601E"/>
    <w:rsid w:val="0037549F"/>
    <w:rsid w:val="003917EC"/>
    <w:rsid w:val="00395946"/>
    <w:rsid w:val="003A2E34"/>
    <w:rsid w:val="003A725C"/>
    <w:rsid w:val="003B0780"/>
    <w:rsid w:val="003C1CC8"/>
    <w:rsid w:val="003C78FA"/>
    <w:rsid w:val="003E0F8C"/>
    <w:rsid w:val="003E77A9"/>
    <w:rsid w:val="00400A50"/>
    <w:rsid w:val="00404C0B"/>
    <w:rsid w:val="0040564F"/>
    <w:rsid w:val="00405A28"/>
    <w:rsid w:val="00411DB0"/>
    <w:rsid w:val="004231D9"/>
    <w:rsid w:val="004270C1"/>
    <w:rsid w:val="00427A8E"/>
    <w:rsid w:val="00427BDC"/>
    <w:rsid w:val="004303BF"/>
    <w:rsid w:val="00430F33"/>
    <w:rsid w:val="00440696"/>
    <w:rsid w:val="00442CDF"/>
    <w:rsid w:val="0044445D"/>
    <w:rsid w:val="00452031"/>
    <w:rsid w:val="00463495"/>
    <w:rsid w:val="00470686"/>
    <w:rsid w:val="0047170D"/>
    <w:rsid w:val="004731A2"/>
    <w:rsid w:val="00483CCF"/>
    <w:rsid w:val="0049357F"/>
    <w:rsid w:val="00493B76"/>
    <w:rsid w:val="004A0CB3"/>
    <w:rsid w:val="004A1B04"/>
    <w:rsid w:val="004C754A"/>
    <w:rsid w:val="004D0502"/>
    <w:rsid w:val="004D1C84"/>
    <w:rsid w:val="004D36BC"/>
    <w:rsid w:val="004D573C"/>
    <w:rsid w:val="004E0189"/>
    <w:rsid w:val="004E1622"/>
    <w:rsid w:val="004F2A50"/>
    <w:rsid w:val="0050149D"/>
    <w:rsid w:val="0051198C"/>
    <w:rsid w:val="0051404A"/>
    <w:rsid w:val="00516022"/>
    <w:rsid w:val="00516488"/>
    <w:rsid w:val="00522214"/>
    <w:rsid w:val="00523F25"/>
    <w:rsid w:val="00524925"/>
    <w:rsid w:val="00536A1C"/>
    <w:rsid w:val="00546366"/>
    <w:rsid w:val="00551A02"/>
    <w:rsid w:val="00551FD2"/>
    <w:rsid w:val="005534FA"/>
    <w:rsid w:val="0055403E"/>
    <w:rsid w:val="0055409A"/>
    <w:rsid w:val="005540CF"/>
    <w:rsid w:val="00555917"/>
    <w:rsid w:val="00556402"/>
    <w:rsid w:val="00557F29"/>
    <w:rsid w:val="0056138D"/>
    <w:rsid w:val="00562ED2"/>
    <w:rsid w:val="0056777E"/>
    <w:rsid w:val="00570221"/>
    <w:rsid w:val="00572528"/>
    <w:rsid w:val="005805C2"/>
    <w:rsid w:val="00580F91"/>
    <w:rsid w:val="0058161C"/>
    <w:rsid w:val="005851CA"/>
    <w:rsid w:val="005851E3"/>
    <w:rsid w:val="005A0C5E"/>
    <w:rsid w:val="005A43A6"/>
    <w:rsid w:val="005A50DA"/>
    <w:rsid w:val="005A5453"/>
    <w:rsid w:val="005B40E0"/>
    <w:rsid w:val="005D1B07"/>
    <w:rsid w:val="005D3A03"/>
    <w:rsid w:val="005D4905"/>
    <w:rsid w:val="005D5C4A"/>
    <w:rsid w:val="005D5DAB"/>
    <w:rsid w:val="005D69F7"/>
    <w:rsid w:val="005D72B8"/>
    <w:rsid w:val="005F50FB"/>
    <w:rsid w:val="0060117F"/>
    <w:rsid w:val="006109E1"/>
    <w:rsid w:val="00614361"/>
    <w:rsid w:val="00623A84"/>
    <w:rsid w:val="006328E8"/>
    <w:rsid w:val="00641E6C"/>
    <w:rsid w:val="006420AA"/>
    <w:rsid w:val="00642542"/>
    <w:rsid w:val="006569F6"/>
    <w:rsid w:val="00662979"/>
    <w:rsid w:val="00662FEA"/>
    <w:rsid w:val="00664698"/>
    <w:rsid w:val="006670BB"/>
    <w:rsid w:val="0068469C"/>
    <w:rsid w:val="0069591F"/>
    <w:rsid w:val="00697D46"/>
    <w:rsid w:val="006A4C73"/>
    <w:rsid w:val="006D382E"/>
    <w:rsid w:val="006E0FDD"/>
    <w:rsid w:val="006E4B4C"/>
    <w:rsid w:val="006F2C0A"/>
    <w:rsid w:val="006F3D03"/>
    <w:rsid w:val="0070178C"/>
    <w:rsid w:val="00706A5E"/>
    <w:rsid w:val="00706AE6"/>
    <w:rsid w:val="007158EC"/>
    <w:rsid w:val="00722589"/>
    <w:rsid w:val="00723359"/>
    <w:rsid w:val="0072571E"/>
    <w:rsid w:val="0072736D"/>
    <w:rsid w:val="007373C3"/>
    <w:rsid w:val="00744CC8"/>
    <w:rsid w:val="00756D1C"/>
    <w:rsid w:val="00765CBF"/>
    <w:rsid w:val="0077197F"/>
    <w:rsid w:val="00773824"/>
    <w:rsid w:val="007817CD"/>
    <w:rsid w:val="00782D1D"/>
    <w:rsid w:val="00784F19"/>
    <w:rsid w:val="007862A8"/>
    <w:rsid w:val="007908AC"/>
    <w:rsid w:val="007954BE"/>
    <w:rsid w:val="007B0A1C"/>
    <w:rsid w:val="007B6A7C"/>
    <w:rsid w:val="007B7B48"/>
    <w:rsid w:val="007C381B"/>
    <w:rsid w:val="007C5BE0"/>
    <w:rsid w:val="007D7BC7"/>
    <w:rsid w:val="007E1A4D"/>
    <w:rsid w:val="008002C0"/>
    <w:rsid w:val="0080397E"/>
    <w:rsid w:val="00803FCD"/>
    <w:rsid w:val="00807127"/>
    <w:rsid w:val="00810752"/>
    <w:rsid w:val="008205DE"/>
    <w:rsid w:val="00824864"/>
    <w:rsid w:val="008258C3"/>
    <w:rsid w:val="00827D33"/>
    <w:rsid w:val="008329FB"/>
    <w:rsid w:val="00837C71"/>
    <w:rsid w:val="008522FD"/>
    <w:rsid w:val="008532DE"/>
    <w:rsid w:val="008534E9"/>
    <w:rsid w:val="008617E8"/>
    <w:rsid w:val="00862932"/>
    <w:rsid w:val="0086349D"/>
    <w:rsid w:val="00867900"/>
    <w:rsid w:val="00872941"/>
    <w:rsid w:val="00882771"/>
    <w:rsid w:val="008877EE"/>
    <w:rsid w:val="008905FF"/>
    <w:rsid w:val="00890B0A"/>
    <w:rsid w:val="008918FA"/>
    <w:rsid w:val="008A0845"/>
    <w:rsid w:val="008A194F"/>
    <w:rsid w:val="008A5AAE"/>
    <w:rsid w:val="008B3E28"/>
    <w:rsid w:val="008B55CF"/>
    <w:rsid w:val="008C4216"/>
    <w:rsid w:val="008C5323"/>
    <w:rsid w:val="008C5863"/>
    <w:rsid w:val="008C6EFE"/>
    <w:rsid w:val="008D06A3"/>
    <w:rsid w:val="008D3478"/>
    <w:rsid w:val="008E29E9"/>
    <w:rsid w:val="008F0682"/>
    <w:rsid w:val="008F4F1D"/>
    <w:rsid w:val="00900684"/>
    <w:rsid w:val="00903B32"/>
    <w:rsid w:val="00917AE0"/>
    <w:rsid w:val="00922258"/>
    <w:rsid w:val="00926839"/>
    <w:rsid w:val="009271CF"/>
    <w:rsid w:val="0092732E"/>
    <w:rsid w:val="00927E0A"/>
    <w:rsid w:val="00934E99"/>
    <w:rsid w:val="009436DA"/>
    <w:rsid w:val="0094379B"/>
    <w:rsid w:val="0095038F"/>
    <w:rsid w:val="00951CB7"/>
    <w:rsid w:val="00951D45"/>
    <w:rsid w:val="009523D6"/>
    <w:rsid w:val="00952794"/>
    <w:rsid w:val="009549A5"/>
    <w:rsid w:val="009577CC"/>
    <w:rsid w:val="00961467"/>
    <w:rsid w:val="00972B31"/>
    <w:rsid w:val="009840B4"/>
    <w:rsid w:val="0098756C"/>
    <w:rsid w:val="009932BF"/>
    <w:rsid w:val="009A2682"/>
    <w:rsid w:val="009A6A3B"/>
    <w:rsid w:val="009B43CE"/>
    <w:rsid w:val="009C2D04"/>
    <w:rsid w:val="009D439A"/>
    <w:rsid w:val="009D4A70"/>
    <w:rsid w:val="009D535B"/>
    <w:rsid w:val="009E1F18"/>
    <w:rsid w:val="009E5E98"/>
    <w:rsid w:val="009E6310"/>
    <w:rsid w:val="009E6F19"/>
    <w:rsid w:val="009E7E47"/>
    <w:rsid w:val="009F4064"/>
    <w:rsid w:val="00A03098"/>
    <w:rsid w:val="00A040E1"/>
    <w:rsid w:val="00A1290A"/>
    <w:rsid w:val="00A165E5"/>
    <w:rsid w:val="00A21B6D"/>
    <w:rsid w:val="00A23E69"/>
    <w:rsid w:val="00A27D44"/>
    <w:rsid w:val="00A3271A"/>
    <w:rsid w:val="00A32760"/>
    <w:rsid w:val="00A40A64"/>
    <w:rsid w:val="00A4369F"/>
    <w:rsid w:val="00A53367"/>
    <w:rsid w:val="00A55B96"/>
    <w:rsid w:val="00A5656A"/>
    <w:rsid w:val="00A60F4D"/>
    <w:rsid w:val="00A60FA1"/>
    <w:rsid w:val="00A6263D"/>
    <w:rsid w:val="00A63A4F"/>
    <w:rsid w:val="00A63BE0"/>
    <w:rsid w:val="00A715B0"/>
    <w:rsid w:val="00A74805"/>
    <w:rsid w:val="00A81120"/>
    <w:rsid w:val="00A83681"/>
    <w:rsid w:val="00A8402F"/>
    <w:rsid w:val="00A926BE"/>
    <w:rsid w:val="00A96224"/>
    <w:rsid w:val="00AB1FD2"/>
    <w:rsid w:val="00AC3652"/>
    <w:rsid w:val="00AD01E0"/>
    <w:rsid w:val="00AD08FE"/>
    <w:rsid w:val="00AD2117"/>
    <w:rsid w:val="00AD4AB8"/>
    <w:rsid w:val="00AD5F61"/>
    <w:rsid w:val="00AE0B52"/>
    <w:rsid w:val="00AE24E4"/>
    <w:rsid w:val="00AE4A92"/>
    <w:rsid w:val="00AE65BB"/>
    <w:rsid w:val="00AE70FF"/>
    <w:rsid w:val="00AF34E1"/>
    <w:rsid w:val="00AF3FB5"/>
    <w:rsid w:val="00AF59E6"/>
    <w:rsid w:val="00B00DFD"/>
    <w:rsid w:val="00B31601"/>
    <w:rsid w:val="00B338D8"/>
    <w:rsid w:val="00B35548"/>
    <w:rsid w:val="00B407E8"/>
    <w:rsid w:val="00B4722B"/>
    <w:rsid w:val="00B47ECC"/>
    <w:rsid w:val="00B56BF9"/>
    <w:rsid w:val="00B610CA"/>
    <w:rsid w:val="00B724CB"/>
    <w:rsid w:val="00B7712E"/>
    <w:rsid w:val="00B823AA"/>
    <w:rsid w:val="00B90131"/>
    <w:rsid w:val="00B969C7"/>
    <w:rsid w:val="00B974B3"/>
    <w:rsid w:val="00BA45DB"/>
    <w:rsid w:val="00BB28BC"/>
    <w:rsid w:val="00BC54E5"/>
    <w:rsid w:val="00BD3FA3"/>
    <w:rsid w:val="00BD4A76"/>
    <w:rsid w:val="00BE2281"/>
    <w:rsid w:val="00BE41F4"/>
    <w:rsid w:val="00BE58F7"/>
    <w:rsid w:val="00BF039C"/>
    <w:rsid w:val="00BF106A"/>
    <w:rsid w:val="00BF1C8C"/>
    <w:rsid w:val="00BF4184"/>
    <w:rsid w:val="00C053C0"/>
    <w:rsid w:val="00C0601E"/>
    <w:rsid w:val="00C061DE"/>
    <w:rsid w:val="00C06E84"/>
    <w:rsid w:val="00C071AE"/>
    <w:rsid w:val="00C109CD"/>
    <w:rsid w:val="00C1775A"/>
    <w:rsid w:val="00C31D30"/>
    <w:rsid w:val="00C359E1"/>
    <w:rsid w:val="00C35C42"/>
    <w:rsid w:val="00C43726"/>
    <w:rsid w:val="00C47C83"/>
    <w:rsid w:val="00C52D41"/>
    <w:rsid w:val="00C60AB4"/>
    <w:rsid w:val="00C6268F"/>
    <w:rsid w:val="00C62F9A"/>
    <w:rsid w:val="00C664CD"/>
    <w:rsid w:val="00C73FE3"/>
    <w:rsid w:val="00C8083D"/>
    <w:rsid w:val="00C81F64"/>
    <w:rsid w:val="00C8301C"/>
    <w:rsid w:val="00C865C0"/>
    <w:rsid w:val="00C915BD"/>
    <w:rsid w:val="00C949F5"/>
    <w:rsid w:val="00CA04E9"/>
    <w:rsid w:val="00CA747E"/>
    <w:rsid w:val="00CB49B5"/>
    <w:rsid w:val="00CB6BEB"/>
    <w:rsid w:val="00CB72AD"/>
    <w:rsid w:val="00CC29BB"/>
    <w:rsid w:val="00CC4CD7"/>
    <w:rsid w:val="00CC6E7D"/>
    <w:rsid w:val="00CD3837"/>
    <w:rsid w:val="00CD6E39"/>
    <w:rsid w:val="00CE6959"/>
    <w:rsid w:val="00CF6E91"/>
    <w:rsid w:val="00CF76D8"/>
    <w:rsid w:val="00D11698"/>
    <w:rsid w:val="00D2214E"/>
    <w:rsid w:val="00D22208"/>
    <w:rsid w:val="00D25D73"/>
    <w:rsid w:val="00D35013"/>
    <w:rsid w:val="00D35D85"/>
    <w:rsid w:val="00D35F89"/>
    <w:rsid w:val="00D41386"/>
    <w:rsid w:val="00D426A1"/>
    <w:rsid w:val="00D426CC"/>
    <w:rsid w:val="00D44F80"/>
    <w:rsid w:val="00D5196C"/>
    <w:rsid w:val="00D52697"/>
    <w:rsid w:val="00D542A9"/>
    <w:rsid w:val="00D5592D"/>
    <w:rsid w:val="00D56B00"/>
    <w:rsid w:val="00D618C7"/>
    <w:rsid w:val="00D727EB"/>
    <w:rsid w:val="00D85B68"/>
    <w:rsid w:val="00D87B6B"/>
    <w:rsid w:val="00D928E6"/>
    <w:rsid w:val="00DA1F25"/>
    <w:rsid w:val="00DA1F44"/>
    <w:rsid w:val="00DA7A1E"/>
    <w:rsid w:val="00DA7C76"/>
    <w:rsid w:val="00DB0969"/>
    <w:rsid w:val="00DB0AAC"/>
    <w:rsid w:val="00DB4618"/>
    <w:rsid w:val="00DB5C8F"/>
    <w:rsid w:val="00DC604D"/>
    <w:rsid w:val="00DD2644"/>
    <w:rsid w:val="00DD4FAC"/>
    <w:rsid w:val="00DE4007"/>
    <w:rsid w:val="00DE4AEC"/>
    <w:rsid w:val="00DF2F66"/>
    <w:rsid w:val="00DF57B2"/>
    <w:rsid w:val="00DF5DF7"/>
    <w:rsid w:val="00DF5ED0"/>
    <w:rsid w:val="00E15E5B"/>
    <w:rsid w:val="00E20208"/>
    <w:rsid w:val="00E26CFF"/>
    <w:rsid w:val="00E347EB"/>
    <w:rsid w:val="00E42258"/>
    <w:rsid w:val="00E42295"/>
    <w:rsid w:val="00E464D8"/>
    <w:rsid w:val="00E5591A"/>
    <w:rsid w:val="00E6004D"/>
    <w:rsid w:val="00E66094"/>
    <w:rsid w:val="00E769C0"/>
    <w:rsid w:val="00E81978"/>
    <w:rsid w:val="00E93763"/>
    <w:rsid w:val="00E94441"/>
    <w:rsid w:val="00E95528"/>
    <w:rsid w:val="00EA2838"/>
    <w:rsid w:val="00EA3D96"/>
    <w:rsid w:val="00EA3DA5"/>
    <w:rsid w:val="00EC69FF"/>
    <w:rsid w:val="00EC75C4"/>
    <w:rsid w:val="00ED400D"/>
    <w:rsid w:val="00ED41B4"/>
    <w:rsid w:val="00ED6507"/>
    <w:rsid w:val="00EE3284"/>
    <w:rsid w:val="00EE58F3"/>
    <w:rsid w:val="00EF76F9"/>
    <w:rsid w:val="00F002CD"/>
    <w:rsid w:val="00F0248D"/>
    <w:rsid w:val="00F060A0"/>
    <w:rsid w:val="00F06DC6"/>
    <w:rsid w:val="00F12EC3"/>
    <w:rsid w:val="00F13AAA"/>
    <w:rsid w:val="00F263DC"/>
    <w:rsid w:val="00F3704C"/>
    <w:rsid w:val="00F379B7"/>
    <w:rsid w:val="00F45D9C"/>
    <w:rsid w:val="00F525FA"/>
    <w:rsid w:val="00F70D7D"/>
    <w:rsid w:val="00F71234"/>
    <w:rsid w:val="00F75EE8"/>
    <w:rsid w:val="00F80D5E"/>
    <w:rsid w:val="00F81C65"/>
    <w:rsid w:val="00F82B01"/>
    <w:rsid w:val="00F82CB9"/>
    <w:rsid w:val="00F87E33"/>
    <w:rsid w:val="00F9219D"/>
    <w:rsid w:val="00F92F63"/>
    <w:rsid w:val="00FA32B2"/>
    <w:rsid w:val="00FA359B"/>
    <w:rsid w:val="00FB1003"/>
    <w:rsid w:val="00FB1E8E"/>
    <w:rsid w:val="00FC12D3"/>
    <w:rsid w:val="00FC6D13"/>
    <w:rsid w:val="00FD128F"/>
    <w:rsid w:val="00FD46A9"/>
    <w:rsid w:val="00FD5E5F"/>
    <w:rsid w:val="00FE50E2"/>
    <w:rsid w:val="00FE7A97"/>
    <w:rsid w:val="00FF2002"/>
    <w:rsid w:val="11C6D279"/>
    <w:rsid w:val="6E997885"/>
    <w:rsid w:val="7BA8CD5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B1F8997"/>
  <w15:docId w15:val="{5DC4D774-3DEB-5A4A-B15B-A168A6DF8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2AB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20"/>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styleId="Revision">
    <w:name w:val="Revision"/>
    <w:hidden/>
    <w:uiPriority w:val="99"/>
    <w:semiHidden/>
    <w:rsid w:val="005F50FB"/>
    <w:pPr>
      <w:spacing w:line="240" w:lineRule="auto"/>
      <w:ind w:firstLine="0"/>
    </w:pPr>
    <w:rPr>
      <w:kern w:val="24"/>
    </w:rPr>
  </w:style>
  <w:style w:type="character" w:customStyle="1" w:styleId="cf01">
    <w:name w:val="cf01"/>
    <w:basedOn w:val="DefaultParagraphFont"/>
    <w:rsid w:val="00ED41B4"/>
    <w:rPr>
      <w:rFonts w:ascii="Segoe UI" w:hAnsi="Segoe UI" w:cs="Segoe UI" w:hint="default"/>
      <w:sz w:val="18"/>
      <w:szCs w:val="18"/>
    </w:rPr>
  </w:style>
  <w:style w:type="character" w:customStyle="1" w:styleId="cf11">
    <w:name w:val="cf11"/>
    <w:basedOn w:val="DefaultParagraphFont"/>
    <w:rsid w:val="00ED41B4"/>
    <w:rPr>
      <w:rFonts w:ascii="Segoe UI" w:hAnsi="Segoe UI" w:cs="Segoe UI" w:hint="default"/>
      <w:i/>
      <w:iCs/>
      <w:sz w:val="18"/>
      <w:szCs w:val="18"/>
    </w:rPr>
  </w:style>
  <w:style w:type="paragraph" w:customStyle="1" w:styleId="pf0">
    <w:name w:val="pf0"/>
    <w:basedOn w:val="Normal"/>
    <w:rsid w:val="005851E3"/>
    <w:pPr>
      <w:spacing w:before="100" w:beforeAutospacing="1" w:after="100" w:afterAutospacing="1" w:line="240" w:lineRule="auto"/>
      <w:ind w:firstLine="0"/>
    </w:pPr>
    <w:rPr>
      <w:rFonts w:ascii="Times New Roman" w:eastAsia="Times New Roman" w:hAnsi="Times New Roman" w:cs="Times New Roman"/>
      <w:kern w:val="0"/>
      <w:lang w:eastAsia="en-US"/>
    </w:rPr>
  </w:style>
  <w:style w:type="character" w:customStyle="1" w:styleId="cf21">
    <w:name w:val="cf21"/>
    <w:basedOn w:val="DefaultParagraphFont"/>
    <w:rsid w:val="005851E3"/>
    <w:rPr>
      <w:rFonts w:ascii="Segoe UI" w:hAnsi="Segoe UI" w:cs="Segoe UI" w:hint="default"/>
      <w:i/>
      <w:iCs/>
      <w:color w:val="222222"/>
      <w:sz w:val="18"/>
      <w:szCs w:val="18"/>
      <w:shd w:val="clear" w:color="auto" w:fill="FFFFFF"/>
    </w:rPr>
  </w:style>
  <w:style w:type="character" w:styleId="Hyperlink">
    <w:name w:val="Hyperlink"/>
    <w:basedOn w:val="DefaultParagraphFont"/>
    <w:uiPriority w:val="99"/>
    <w:unhideWhenUsed/>
    <w:rsid w:val="00AF59E6"/>
    <w:rPr>
      <w:color w:val="5F5F5F" w:themeColor="hyperlink"/>
      <w:u w:val="single"/>
    </w:rPr>
  </w:style>
  <w:style w:type="character" w:customStyle="1" w:styleId="UnresolvedMention1">
    <w:name w:val="Unresolved Mention1"/>
    <w:basedOn w:val="DefaultParagraphFont"/>
    <w:uiPriority w:val="99"/>
    <w:semiHidden/>
    <w:unhideWhenUsed/>
    <w:rsid w:val="00AF59E6"/>
    <w:rPr>
      <w:color w:val="605E5C"/>
      <w:shd w:val="clear" w:color="auto" w:fill="E1DFDD"/>
    </w:rPr>
  </w:style>
  <w:style w:type="character" w:styleId="UnresolvedMention">
    <w:name w:val="Unresolved Mention"/>
    <w:basedOn w:val="DefaultParagraphFont"/>
    <w:uiPriority w:val="99"/>
    <w:semiHidden/>
    <w:unhideWhenUsed/>
    <w:rsid w:val="00FA3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095204">
      <w:bodyDiv w:val="1"/>
      <w:marLeft w:val="0"/>
      <w:marRight w:val="0"/>
      <w:marTop w:val="0"/>
      <w:marBottom w:val="0"/>
      <w:divBdr>
        <w:top w:val="none" w:sz="0" w:space="0" w:color="auto"/>
        <w:left w:val="none" w:sz="0" w:space="0" w:color="auto"/>
        <w:bottom w:val="none" w:sz="0" w:space="0" w:color="auto"/>
        <w:right w:val="none" w:sz="0" w:space="0" w:color="auto"/>
      </w:divBdr>
    </w:div>
    <w:div w:id="142432652">
      <w:bodyDiv w:val="1"/>
      <w:marLeft w:val="0"/>
      <w:marRight w:val="0"/>
      <w:marTop w:val="0"/>
      <w:marBottom w:val="0"/>
      <w:divBdr>
        <w:top w:val="none" w:sz="0" w:space="0" w:color="auto"/>
        <w:left w:val="none" w:sz="0" w:space="0" w:color="auto"/>
        <w:bottom w:val="none" w:sz="0" w:space="0" w:color="auto"/>
        <w:right w:val="none" w:sz="0" w:space="0" w:color="auto"/>
      </w:divBdr>
    </w:div>
    <w:div w:id="148134600">
      <w:bodyDiv w:val="1"/>
      <w:marLeft w:val="0"/>
      <w:marRight w:val="0"/>
      <w:marTop w:val="0"/>
      <w:marBottom w:val="0"/>
      <w:divBdr>
        <w:top w:val="none" w:sz="0" w:space="0" w:color="auto"/>
        <w:left w:val="none" w:sz="0" w:space="0" w:color="auto"/>
        <w:bottom w:val="none" w:sz="0" w:space="0" w:color="auto"/>
        <w:right w:val="none" w:sz="0" w:space="0" w:color="auto"/>
      </w:divBdr>
    </w:div>
    <w:div w:id="251596066">
      <w:bodyDiv w:val="1"/>
      <w:marLeft w:val="0"/>
      <w:marRight w:val="0"/>
      <w:marTop w:val="0"/>
      <w:marBottom w:val="0"/>
      <w:divBdr>
        <w:top w:val="none" w:sz="0" w:space="0" w:color="auto"/>
        <w:left w:val="none" w:sz="0" w:space="0" w:color="auto"/>
        <w:bottom w:val="none" w:sz="0" w:space="0" w:color="auto"/>
        <w:right w:val="none" w:sz="0" w:space="0" w:color="auto"/>
      </w:divBdr>
    </w:div>
    <w:div w:id="314185887">
      <w:bodyDiv w:val="1"/>
      <w:marLeft w:val="0"/>
      <w:marRight w:val="0"/>
      <w:marTop w:val="0"/>
      <w:marBottom w:val="0"/>
      <w:divBdr>
        <w:top w:val="none" w:sz="0" w:space="0" w:color="auto"/>
        <w:left w:val="none" w:sz="0" w:space="0" w:color="auto"/>
        <w:bottom w:val="none" w:sz="0" w:space="0" w:color="auto"/>
        <w:right w:val="none" w:sz="0" w:space="0" w:color="auto"/>
      </w:divBdr>
    </w:div>
    <w:div w:id="367292930">
      <w:bodyDiv w:val="1"/>
      <w:marLeft w:val="0"/>
      <w:marRight w:val="0"/>
      <w:marTop w:val="0"/>
      <w:marBottom w:val="0"/>
      <w:divBdr>
        <w:top w:val="none" w:sz="0" w:space="0" w:color="auto"/>
        <w:left w:val="none" w:sz="0" w:space="0" w:color="auto"/>
        <w:bottom w:val="none" w:sz="0" w:space="0" w:color="auto"/>
        <w:right w:val="none" w:sz="0" w:space="0" w:color="auto"/>
      </w:divBdr>
    </w:div>
    <w:div w:id="421727855">
      <w:bodyDiv w:val="1"/>
      <w:marLeft w:val="0"/>
      <w:marRight w:val="0"/>
      <w:marTop w:val="0"/>
      <w:marBottom w:val="0"/>
      <w:divBdr>
        <w:top w:val="none" w:sz="0" w:space="0" w:color="auto"/>
        <w:left w:val="none" w:sz="0" w:space="0" w:color="auto"/>
        <w:bottom w:val="none" w:sz="0" w:space="0" w:color="auto"/>
        <w:right w:val="none" w:sz="0" w:space="0" w:color="auto"/>
      </w:divBdr>
    </w:div>
    <w:div w:id="456607757">
      <w:bodyDiv w:val="1"/>
      <w:marLeft w:val="0"/>
      <w:marRight w:val="0"/>
      <w:marTop w:val="0"/>
      <w:marBottom w:val="0"/>
      <w:divBdr>
        <w:top w:val="none" w:sz="0" w:space="0" w:color="auto"/>
        <w:left w:val="none" w:sz="0" w:space="0" w:color="auto"/>
        <w:bottom w:val="none" w:sz="0" w:space="0" w:color="auto"/>
        <w:right w:val="none" w:sz="0" w:space="0" w:color="auto"/>
      </w:divBdr>
    </w:div>
    <w:div w:id="508328719">
      <w:bodyDiv w:val="1"/>
      <w:marLeft w:val="0"/>
      <w:marRight w:val="0"/>
      <w:marTop w:val="0"/>
      <w:marBottom w:val="0"/>
      <w:divBdr>
        <w:top w:val="none" w:sz="0" w:space="0" w:color="auto"/>
        <w:left w:val="none" w:sz="0" w:space="0" w:color="auto"/>
        <w:bottom w:val="none" w:sz="0" w:space="0" w:color="auto"/>
        <w:right w:val="none" w:sz="0" w:space="0" w:color="auto"/>
      </w:divBdr>
      <w:divsChild>
        <w:div w:id="52509050">
          <w:marLeft w:val="480"/>
          <w:marRight w:val="0"/>
          <w:marTop w:val="0"/>
          <w:marBottom w:val="0"/>
          <w:divBdr>
            <w:top w:val="none" w:sz="0" w:space="0" w:color="auto"/>
            <w:left w:val="none" w:sz="0" w:space="0" w:color="auto"/>
            <w:bottom w:val="none" w:sz="0" w:space="0" w:color="auto"/>
            <w:right w:val="none" w:sz="0" w:space="0" w:color="auto"/>
          </w:divBdr>
          <w:divsChild>
            <w:div w:id="45314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690609">
      <w:bodyDiv w:val="1"/>
      <w:marLeft w:val="0"/>
      <w:marRight w:val="0"/>
      <w:marTop w:val="0"/>
      <w:marBottom w:val="0"/>
      <w:divBdr>
        <w:top w:val="none" w:sz="0" w:space="0" w:color="auto"/>
        <w:left w:val="none" w:sz="0" w:space="0" w:color="auto"/>
        <w:bottom w:val="none" w:sz="0" w:space="0" w:color="auto"/>
        <w:right w:val="none" w:sz="0" w:space="0" w:color="auto"/>
      </w:divBdr>
    </w:div>
    <w:div w:id="668825515">
      <w:bodyDiv w:val="1"/>
      <w:marLeft w:val="0"/>
      <w:marRight w:val="0"/>
      <w:marTop w:val="0"/>
      <w:marBottom w:val="0"/>
      <w:divBdr>
        <w:top w:val="none" w:sz="0" w:space="0" w:color="auto"/>
        <w:left w:val="none" w:sz="0" w:space="0" w:color="auto"/>
        <w:bottom w:val="none" w:sz="0" w:space="0" w:color="auto"/>
        <w:right w:val="none" w:sz="0" w:space="0" w:color="auto"/>
      </w:divBdr>
    </w:div>
    <w:div w:id="682901687">
      <w:bodyDiv w:val="1"/>
      <w:marLeft w:val="0"/>
      <w:marRight w:val="0"/>
      <w:marTop w:val="0"/>
      <w:marBottom w:val="0"/>
      <w:divBdr>
        <w:top w:val="none" w:sz="0" w:space="0" w:color="auto"/>
        <w:left w:val="none" w:sz="0" w:space="0" w:color="auto"/>
        <w:bottom w:val="none" w:sz="0" w:space="0" w:color="auto"/>
        <w:right w:val="none" w:sz="0" w:space="0" w:color="auto"/>
      </w:divBdr>
    </w:div>
    <w:div w:id="746683964">
      <w:bodyDiv w:val="1"/>
      <w:marLeft w:val="0"/>
      <w:marRight w:val="0"/>
      <w:marTop w:val="0"/>
      <w:marBottom w:val="0"/>
      <w:divBdr>
        <w:top w:val="none" w:sz="0" w:space="0" w:color="auto"/>
        <w:left w:val="none" w:sz="0" w:space="0" w:color="auto"/>
        <w:bottom w:val="none" w:sz="0" w:space="0" w:color="auto"/>
        <w:right w:val="none" w:sz="0" w:space="0" w:color="auto"/>
      </w:divBdr>
      <w:divsChild>
        <w:div w:id="582450146">
          <w:marLeft w:val="480"/>
          <w:marRight w:val="0"/>
          <w:marTop w:val="0"/>
          <w:marBottom w:val="0"/>
          <w:divBdr>
            <w:top w:val="none" w:sz="0" w:space="0" w:color="auto"/>
            <w:left w:val="none" w:sz="0" w:space="0" w:color="auto"/>
            <w:bottom w:val="none" w:sz="0" w:space="0" w:color="auto"/>
            <w:right w:val="none" w:sz="0" w:space="0" w:color="auto"/>
          </w:divBdr>
          <w:divsChild>
            <w:div w:id="213051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8602194">
      <w:bodyDiv w:val="1"/>
      <w:marLeft w:val="0"/>
      <w:marRight w:val="0"/>
      <w:marTop w:val="0"/>
      <w:marBottom w:val="0"/>
      <w:divBdr>
        <w:top w:val="none" w:sz="0" w:space="0" w:color="auto"/>
        <w:left w:val="none" w:sz="0" w:space="0" w:color="auto"/>
        <w:bottom w:val="none" w:sz="0" w:space="0" w:color="auto"/>
        <w:right w:val="none" w:sz="0" w:space="0" w:color="auto"/>
      </w:divBdr>
    </w:div>
    <w:div w:id="1047682235">
      <w:bodyDiv w:val="1"/>
      <w:marLeft w:val="0"/>
      <w:marRight w:val="0"/>
      <w:marTop w:val="0"/>
      <w:marBottom w:val="0"/>
      <w:divBdr>
        <w:top w:val="none" w:sz="0" w:space="0" w:color="auto"/>
        <w:left w:val="none" w:sz="0" w:space="0" w:color="auto"/>
        <w:bottom w:val="none" w:sz="0" w:space="0" w:color="auto"/>
        <w:right w:val="none" w:sz="0" w:space="0" w:color="auto"/>
      </w:divBdr>
      <w:divsChild>
        <w:div w:id="158664065">
          <w:marLeft w:val="480"/>
          <w:marRight w:val="0"/>
          <w:marTop w:val="0"/>
          <w:marBottom w:val="0"/>
          <w:divBdr>
            <w:top w:val="none" w:sz="0" w:space="0" w:color="auto"/>
            <w:left w:val="none" w:sz="0" w:space="0" w:color="auto"/>
            <w:bottom w:val="none" w:sz="0" w:space="0" w:color="auto"/>
            <w:right w:val="none" w:sz="0" w:space="0" w:color="auto"/>
          </w:divBdr>
          <w:divsChild>
            <w:div w:id="69523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73480">
      <w:bodyDiv w:val="1"/>
      <w:marLeft w:val="0"/>
      <w:marRight w:val="0"/>
      <w:marTop w:val="0"/>
      <w:marBottom w:val="0"/>
      <w:divBdr>
        <w:top w:val="none" w:sz="0" w:space="0" w:color="auto"/>
        <w:left w:val="none" w:sz="0" w:space="0" w:color="auto"/>
        <w:bottom w:val="none" w:sz="0" w:space="0" w:color="auto"/>
        <w:right w:val="none" w:sz="0" w:space="0" w:color="auto"/>
      </w:divBdr>
    </w:div>
    <w:div w:id="1184243278">
      <w:bodyDiv w:val="1"/>
      <w:marLeft w:val="0"/>
      <w:marRight w:val="0"/>
      <w:marTop w:val="0"/>
      <w:marBottom w:val="0"/>
      <w:divBdr>
        <w:top w:val="none" w:sz="0" w:space="0" w:color="auto"/>
        <w:left w:val="none" w:sz="0" w:space="0" w:color="auto"/>
        <w:bottom w:val="none" w:sz="0" w:space="0" w:color="auto"/>
        <w:right w:val="none" w:sz="0" w:space="0" w:color="auto"/>
      </w:divBdr>
      <w:divsChild>
        <w:div w:id="613681201">
          <w:marLeft w:val="480"/>
          <w:marRight w:val="0"/>
          <w:marTop w:val="0"/>
          <w:marBottom w:val="0"/>
          <w:divBdr>
            <w:top w:val="none" w:sz="0" w:space="0" w:color="auto"/>
            <w:left w:val="none" w:sz="0" w:space="0" w:color="auto"/>
            <w:bottom w:val="none" w:sz="0" w:space="0" w:color="auto"/>
            <w:right w:val="none" w:sz="0" w:space="0" w:color="auto"/>
          </w:divBdr>
          <w:divsChild>
            <w:div w:id="5458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223524">
      <w:bodyDiv w:val="1"/>
      <w:marLeft w:val="0"/>
      <w:marRight w:val="0"/>
      <w:marTop w:val="0"/>
      <w:marBottom w:val="0"/>
      <w:divBdr>
        <w:top w:val="none" w:sz="0" w:space="0" w:color="auto"/>
        <w:left w:val="none" w:sz="0" w:space="0" w:color="auto"/>
        <w:bottom w:val="none" w:sz="0" w:space="0" w:color="auto"/>
        <w:right w:val="none" w:sz="0" w:space="0" w:color="auto"/>
      </w:divBdr>
    </w:div>
    <w:div w:id="1413426753">
      <w:bodyDiv w:val="1"/>
      <w:marLeft w:val="0"/>
      <w:marRight w:val="0"/>
      <w:marTop w:val="0"/>
      <w:marBottom w:val="0"/>
      <w:divBdr>
        <w:top w:val="none" w:sz="0" w:space="0" w:color="auto"/>
        <w:left w:val="none" w:sz="0" w:space="0" w:color="auto"/>
        <w:bottom w:val="none" w:sz="0" w:space="0" w:color="auto"/>
        <w:right w:val="none" w:sz="0" w:space="0" w:color="auto"/>
      </w:divBdr>
    </w:div>
    <w:div w:id="1469972724">
      <w:bodyDiv w:val="1"/>
      <w:marLeft w:val="0"/>
      <w:marRight w:val="0"/>
      <w:marTop w:val="0"/>
      <w:marBottom w:val="0"/>
      <w:divBdr>
        <w:top w:val="none" w:sz="0" w:space="0" w:color="auto"/>
        <w:left w:val="none" w:sz="0" w:space="0" w:color="auto"/>
        <w:bottom w:val="none" w:sz="0" w:space="0" w:color="auto"/>
        <w:right w:val="none" w:sz="0" w:space="0" w:color="auto"/>
      </w:divBdr>
    </w:div>
    <w:div w:id="1509562149">
      <w:bodyDiv w:val="1"/>
      <w:marLeft w:val="0"/>
      <w:marRight w:val="0"/>
      <w:marTop w:val="0"/>
      <w:marBottom w:val="0"/>
      <w:divBdr>
        <w:top w:val="none" w:sz="0" w:space="0" w:color="auto"/>
        <w:left w:val="none" w:sz="0" w:space="0" w:color="auto"/>
        <w:bottom w:val="none" w:sz="0" w:space="0" w:color="auto"/>
        <w:right w:val="none" w:sz="0" w:space="0" w:color="auto"/>
      </w:divBdr>
    </w:div>
    <w:div w:id="1545367181">
      <w:bodyDiv w:val="1"/>
      <w:marLeft w:val="0"/>
      <w:marRight w:val="0"/>
      <w:marTop w:val="0"/>
      <w:marBottom w:val="0"/>
      <w:divBdr>
        <w:top w:val="none" w:sz="0" w:space="0" w:color="auto"/>
        <w:left w:val="none" w:sz="0" w:space="0" w:color="auto"/>
        <w:bottom w:val="none" w:sz="0" w:space="0" w:color="auto"/>
        <w:right w:val="none" w:sz="0" w:space="0" w:color="auto"/>
      </w:divBdr>
    </w:div>
    <w:div w:id="1555004455">
      <w:bodyDiv w:val="1"/>
      <w:marLeft w:val="0"/>
      <w:marRight w:val="0"/>
      <w:marTop w:val="0"/>
      <w:marBottom w:val="0"/>
      <w:divBdr>
        <w:top w:val="none" w:sz="0" w:space="0" w:color="auto"/>
        <w:left w:val="none" w:sz="0" w:space="0" w:color="auto"/>
        <w:bottom w:val="none" w:sz="0" w:space="0" w:color="auto"/>
        <w:right w:val="none" w:sz="0" w:space="0" w:color="auto"/>
      </w:divBdr>
    </w:div>
    <w:div w:id="1599218159">
      <w:bodyDiv w:val="1"/>
      <w:marLeft w:val="0"/>
      <w:marRight w:val="0"/>
      <w:marTop w:val="0"/>
      <w:marBottom w:val="0"/>
      <w:divBdr>
        <w:top w:val="none" w:sz="0" w:space="0" w:color="auto"/>
        <w:left w:val="none" w:sz="0" w:space="0" w:color="auto"/>
        <w:bottom w:val="none" w:sz="0" w:space="0" w:color="auto"/>
        <w:right w:val="none" w:sz="0" w:space="0" w:color="auto"/>
      </w:divBdr>
    </w:div>
    <w:div w:id="1646279142">
      <w:bodyDiv w:val="1"/>
      <w:marLeft w:val="0"/>
      <w:marRight w:val="0"/>
      <w:marTop w:val="0"/>
      <w:marBottom w:val="0"/>
      <w:divBdr>
        <w:top w:val="none" w:sz="0" w:space="0" w:color="auto"/>
        <w:left w:val="none" w:sz="0" w:space="0" w:color="auto"/>
        <w:bottom w:val="none" w:sz="0" w:space="0" w:color="auto"/>
        <w:right w:val="none" w:sz="0" w:space="0" w:color="auto"/>
      </w:divBdr>
      <w:divsChild>
        <w:div w:id="979070289">
          <w:marLeft w:val="480"/>
          <w:marRight w:val="0"/>
          <w:marTop w:val="0"/>
          <w:marBottom w:val="0"/>
          <w:divBdr>
            <w:top w:val="none" w:sz="0" w:space="0" w:color="auto"/>
            <w:left w:val="none" w:sz="0" w:space="0" w:color="auto"/>
            <w:bottom w:val="none" w:sz="0" w:space="0" w:color="auto"/>
            <w:right w:val="none" w:sz="0" w:space="0" w:color="auto"/>
          </w:divBdr>
          <w:divsChild>
            <w:div w:id="158761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831046">
      <w:bodyDiv w:val="1"/>
      <w:marLeft w:val="0"/>
      <w:marRight w:val="0"/>
      <w:marTop w:val="0"/>
      <w:marBottom w:val="0"/>
      <w:divBdr>
        <w:top w:val="none" w:sz="0" w:space="0" w:color="auto"/>
        <w:left w:val="none" w:sz="0" w:space="0" w:color="auto"/>
        <w:bottom w:val="none" w:sz="0" w:space="0" w:color="auto"/>
        <w:right w:val="none" w:sz="0" w:space="0" w:color="auto"/>
      </w:divBdr>
    </w:div>
    <w:div w:id="1754813541">
      <w:bodyDiv w:val="1"/>
      <w:marLeft w:val="0"/>
      <w:marRight w:val="0"/>
      <w:marTop w:val="0"/>
      <w:marBottom w:val="0"/>
      <w:divBdr>
        <w:top w:val="none" w:sz="0" w:space="0" w:color="auto"/>
        <w:left w:val="none" w:sz="0" w:space="0" w:color="auto"/>
        <w:bottom w:val="none" w:sz="0" w:space="0" w:color="auto"/>
        <w:right w:val="none" w:sz="0" w:space="0" w:color="auto"/>
      </w:divBdr>
    </w:div>
    <w:div w:id="1788350731">
      <w:bodyDiv w:val="1"/>
      <w:marLeft w:val="0"/>
      <w:marRight w:val="0"/>
      <w:marTop w:val="0"/>
      <w:marBottom w:val="0"/>
      <w:divBdr>
        <w:top w:val="none" w:sz="0" w:space="0" w:color="auto"/>
        <w:left w:val="none" w:sz="0" w:space="0" w:color="auto"/>
        <w:bottom w:val="none" w:sz="0" w:space="0" w:color="auto"/>
        <w:right w:val="none" w:sz="0" w:space="0" w:color="auto"/>
      </w:divBdr>
    </w:div>
    <w:div w:id="1815483485">
      <w:bodyDiv w:val="1"/>
      <w:marLeft w:val="0"/>
      <w:marRight w:val="0"/>
      <w:marTop w:val="0"/>
      <w:marBottom w:val="0"/>
      <w:divBdr>
        <w:top w:val="none" w:sz="0" w:space="0" w:color="auto"/>
        <w:left w:val="none" w:sz="0" w:space="0" w:color="auto"/>
        <w:bottom w:val="none" w:sz="0" w:space="0" w:color="auto"/>
        <w:right w:val="none" w:sz="0" w:space="0" w:color="auto"/>
      </w:divBdr>
    </w:div>
    <w:div w:id="1859998721">
      <w:bodyDiv w:val="1"/>
      <w:marLeft w:val="0"/>
      <w:marRight w:val="0"/>
      <w:marTop w:val="0"/>
      <w:marBottom w:val="0"/>
      <w:divBdr>
        <w:top w:val="none" w:sz="0" w:space="0" w:color="auto"/>
        <w:left w:val="none" w:sz="0" w:space="0" w:color="auto"/>
        <w:bottom w:val="none" w:sz="0" w:space="0" w:color="auto"/>
        <w:right w:val="none" w:sz="0" w:space="0" w:color="auto"/>
      </w:divBdr>
    </w:div>
    <w:div w:id="1913347240">
      <w:bodyDiv w:val="1"/>
      <w:marLeft w:val="0"/>
      <w:marRight w:val="0"/>
      <w:marTop w:val="0"/>
      <w:marBottom w:val="0"/>
      <w:divBdr>
        <w:top w:val="none" w:sz="0" w:space="0" w:color="auto"/>
        <w:left w:val="none" w:sz="0" w:space="0" w:color="auto"/>
        <w:bottom w:val="none" w:sz="0" w:space="0" w:color="auto"/>
        <w:right w:val="none" w:sz="0" w:space="0" w:color="auto"/>
      </w:divBdr>
    </w:div>
    <w:div w:id="1916090789">
      <w:bodyDiv w:val="1"/>
      <w:marLeft w:val="0"/>
      <w:marRight w:val="0"/>
      <w:marTop w:val="0"/>
      <w:marBottom w:val="0"/>
      <w:divBdr>
        <w:top w:val="none" w:sz="0" w:space="0" w:color="auto"/>
        <w:left w:val="none" w:sz="0" w:space="0" w:color="auto"/>
        <w:bottom w:val="none" w:sz="0" w:space="0" w:color="auto"/>
        <w:right w:val="none" w:sz="0" w:space="0" w:color="auto"/>
      </w:divBdr>
      <w:divsChild>
        <w:div w:id="1244990297">
          <w:marLeft w:val="480"/>
          <w:marRight w:val="0"/>
          <w:marTop w:val="0"/>
          <w:marBottom w:val="0"/>
          <w:divBdr>
            <w:top w:val="none" w:sz="0" w:space="0" w:color="auto"/>
            <w:left w:val="none" w:sz="0" w:space="0" w:color="auto"/>
            <w:bottom w:val="none" w:sz="0" w:space="0" w:color="auto"/>
            <w:right w:val="none" w:sz="0" w:space="0" w:color="auto"/>
          </w:divBdr>
          <w:divsChild>
            <w:div w:id="541745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915583">
      <w:bodyDiv w:val="1"/>
      <w:marLeft w:val="0"/>
      <w:marRight w:val="0"/>
      <w:marTop w:val="0"/>
      <w:marBottom w:val="0"/>
      <w:divBdr>
        <w:top w:val="none" w:sz="0" w:space="0" w:color="auto"/>
        <w:left w:val="none" w:sz="0" w:space="0" w:color="auto"/>
        <w:bottom w:val="none" w:sz="0" w:space="0" w:color="auto"/>
        <w:right w:val="none" w:sz="0" w:space="0" w:color="auto"/>
      </w:divBdr>
    </w:div>
    <w:div w:id="2000618975">
      <w:bodyDiv w:val="1"/>
      <w:marLeft w:val="0"/>
      <w:marRight w:val="0"/>
      <w:marTop w:val="0"/>
      <w:marBottom w:val="0"/>
      <w:divBdr>
        <w:top w:val="none" w:sz="0" w:space="0" w:color="auto"/>
        <w:left w:val="none" w:sz="0" w:space="0" w:color="auto"/>
        <w:bottom w:val="none" w:sz="0" w:space="0" w:color="auto"/>
        <w:right w:val="none" w:sz="0" w:space="0" w:color="auto"/>
      </w:divBdr>
    </w:div>
    <w:div w:id="2093507387">
      <w:bodyDiv w:val="1"/>
      <w:marLeft w:val="0"/>
      <w:marRight w:val="0"/>
      <w:marTop w:val="0"/>
      <w:marBottom w:val="0"/>
      <w:divBdr>
        <w:top w:val="none" w:sz="0" w:space="0" w:color="auto"/>
        <w:left w:val="none" w:sz="0" w:space="0" w:color="auto"/>
        <w:bottom w:val="none" w:sz="0" w:space="0" w:color="auto"/>
        <w:right w:val="none" w:sz="0" w:space="0" w:color="auto"/>
      </w:divBdr>
    </w:div>
    <w:div w:id="21055695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dc.gov/violenceprevention/pdf/nisvs/nisvsReportonSexualViolence.pdf" TargetMode="External"/><Relationship Id="rId18" Type="http://schemas.openxmlformats.org/officeDocument/2006/relationships/hyperlink" Target="https://doi.org/10.1016/j.brat.2015.08.007" TargetMode="External"/><Relationship Id="rId26" Type="http://schemas.openxmlformats.org/officeDocument/2006/relationships/hyperlink" Target="https://doi.org/10.1108/JMHTEP-07-2021-0088" TargetMode="External"/><Relationship Id="rId3" Type="http://schemas.openxmlformats.org/officeDocument/2006/relationships/numbering" Target="numbering.xml"/><Relationship Id="rId21" Type="http://schemas.openxmlformats.org/officeDocument/2006/relationships/hyperlink" Target="https://ncvc.dspacedirect.org/handle/20.500.11990/1000" TargetMode="External"/><Relationship Id="rId7" Type="http://schemas.openxmlformats.org/officeDocument/2006/relationships/footnotes" Target="footnotes.xml"/><Relationship Id="rId12" Type="http://schemas.openxmlformats.org/officeDocument/2006/relationships/hyperlink" Target="https://psycnet.apa.org/doi/10.1037/men0000073" TargetMode="External"/><Relationship Id="rId17" Type="http://schemas.openxmlformats.org/officeDocument/2006/relationships/hyperlink" Target="https://doi.org/10.1353/csd.2017.0031" TargetMode="External"/><Relationship Id="rId25" Type="http://schemas.openxmlformats.org/officeDocument/2006/relationships/hyperlink" Target="https://cihr-irsc.gc.ca/e/documents/igh_two_spirit-en.pdf"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doi.org/10.1177/0886260521997942" TargetMode="External"/><Relationship Id="rId20" Type="http://schemas.openxmlformats.org/officeDocument/2006/relationships/hyperlink" Target="https://doi.org/https://doi.org/10.2105/AJPH.2013.301648"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i.org/10.1037/0278-6133.19.6.586" TargetMode="External"/><Relationship Id="rId24" Type="http://schemas.openxmlformats.org/officeDocument/2006/relationships/hyperlink" Target="https://doi.org/10.1037/h0024436" TargetMode="External"/><Relationship Id="rId32" Type="http://schemas.openxmlformats.org/officeDocument/2006/relationships/glossaryDocument" Target="glossary/document.xml"/><Relationship Id="rId5" Type="http://schemas.openxmlformats.org/officeDocument/2006/relationships/settings" Target="settings.xml"/><Relationship Id="rId15" Type="http://schemas.openxmlformats.org/officeDocument/2006/relationships/hyperlink" Target="https://www.cdc.gov/women/lcod/2018/all-races-origins/index.htm" TargetMode="External"/><Relationship Id="rId23" Type="http://schemas.openxmlformats.org/officeDocument/2006/relationships/hyperlink" Target="https://doi.org/10.1371/journal.pone.0186471" TargetMode="External"/><Relationship Id="rId28" Type="http://schemas.openxmlformats.org/officeDocument/2006/relationships/header" Target="header1.xml"/><Relationship Id="rId10" Type="http://schemas.openxmlformats.org/officeDocument/2006/relationships/hyperlink" Target="https://tinyurl.com/SDIP-osf" TargetMode="External"/><Relationship Id="rId19" Type="http://schemas.openxmlformats.org/officeDocument/2006/relationships/hyperlink" Target="https://doi.org/10.1891/0886-6708.VV-D-15-00110" TargetMode="External"/><Relationship Id="rId31"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tinyurl.com/SDIP-osf" TargetMode="External"/><Relationship Id="rId14" Type="http://schemas.openxmlformats.org/officeDocument/2006/relationships/hyperlink" Target="https://doi.org/10.1080/02791072.2003.10399988" TargetMode="External"/><Relationship Id="rId22" Type="http://schemas.openxmlformats.org/officeDocument/2006/relationships/hyperlink" Target="https://doi.org/10.18584/iipj.2016.7.2.3" TargetMode="External"/><Relationship Id="rId27" Type="http://schemas.openxmlformats.org/officeDocument/2006/relationships/hyperlink" Target="https://doi.org/10.1056/NEJMsa1411131" TargetMode="External"/><Relationship Id="rId30" Type="http://schemas.openxmlformats.org/officeDocument/2006/relationships/header" Target="header2.xml"/><Relationship Id="rId8"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aeann.anderson\AppData\Roaming\Microsoft\Templates\APA%20style%20report%20(6th%20edi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7E985AC51504BDF96C07B504CAE919C"/>
        <w:category>
          <w:name w:val="General"/>
          <w:gallery w:val="placeholder"/>
        </w:category>
        <w:types>
          <w:type w:val="bbPlcHdr"/>
        </w:types>
        <w:behaviors>
          <w:behavior w:val="content"/>
        </w:behaviors>
        <w:guid w:val="{786C8DE7-6AFF-4C62-ACE1-5B7C6D4DBF8F}"/>
      </w:docPartPr>
      <w:docPartBody>
        <w:p w:rsidR="00A93DD1" w:rsidRDefault="005D0544">
          <w:pPr>
            <w:pStyle w:val="C7E985AC51504BDF96C07B504CAE919C"/>
          </w:pPr>
          <w:r>
            <w:t>[Title Here, up to 12 Words, on One to Two Lines]</w:t>
          </w:r>
        </w:p>
      </w:docPartBody>
    </w:docPart>
    <w:docPart>
      <w:docPartPr>
        <w:name w:val="758FD7A1649B4D0A9D3AFC4B3EE3B8E0"/>
        <w:category>
          <w:name w:val="General"/>
          <w:gallery w:val="placeholder"/>
        </w:category>
        <w:types>
          <w:type w:val="bbPlcHdr"/>
        </w:types>
        <w:behaviors>
          <w:behavior w:val="content"/>
        </w:behaviors>
        <w:guid w:val="{F41E2A7A-7A86-44EE-A661-918CA03076F0}"/>
      </w:docPartPr>
      <w:docPartBody>
        <w:p w:rsidR="00A93DD1" w:rsidRDefault="005D0544">
          <w:pPr>
            <w:pStyle w:val="758FD7A1649B4D0A9D3AFC4B3EE3B8E0"/>
          </w:pPr>
          <w:r w:rsidRPr="005D3A03">
            <w:t>Figures title:</w:t>
          </w:r>
        </w:p>
      </w:docPartBody>
    </w:docPart>
    <w:docPart>
      <w:docPartPr>
        <w:name w:val="40213EFCBDA44400836F59D6269A9883"/>
        <w:category>
          <w:name w:val="General"/>
          <w:gallery w:val="placeholder"/>
        </w:category>
        <w:types>
          <w:type w:val="bbPlcHdr"/>
        </w:types>
        <w:behaviors>
          <w:behavior w:val="content"/>
        </w:behaviors>
        <w:guid w:val="{11071BBF-E7AE-47AE-975C-B6DA1E1A9B85}"/>
      </w:docPartPr>
      <w:docPartBody>
        <w:p w:rsidR="00A93DD1" w:rsidRDefault="005D0544">
          <w:pPr>
            <w:pStyle w:val="40213EFCBDA44400836F59D6269A9883"/>
          </w:pPr>
          <w:r>
            <w:t>[Include all figures in their own section, following references (and footnotes and tables, if applicable).  Include a numbered caption for each figure.  Use the Table/Figure style for easy spacing between figure and caption.]</w:t>
          </w:r>
        </w:p>
      </w:docPartBody>
    </w:docPart>
    <w:docPart>
      <w:docPartPr>
        <w:name w:val="E4D6689A01D5463DAE58CF538E1BAD68"/>
        <w:category>
          <w:name w:val="General"/>
          <w:gallery w:val="placeholder"/>
        </w:category>
        <w:types>
          <w:type w:val="bbPlcHdr"/>
        </w:types>
        <w:behaviors>
          <w:behavior w:val="content"/>
        </w:behaviors>
        <w:guid w:val="{AADBC57C-C4E9-47F0-8245-1728CED2989E}"/>
      </w:docPartPr>
      <w:docPartBody>
        <w:p w:rsidR="00000000" w:rsidRDefault="009F3C69" w:rsidP="009F3C69">
          <w:pPr>
            <w:pStyle w:val="E4D6689A01D5463DAE58CF538E1BAD68"/>
          </w:pPr>
          <w:r>
            <w:t>[Title Here, up to 12 Words, on One to Two Lines]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ptos">
    <w:charset w:val="00"/>
    <w:family w:val="swiss"/>
    <w:pitch w:val="variable"/>
    <w:sig w:usb0="20000287" w:usb1="00000003" w:usb2="00000000" w:usb3="00000000" w:csb0="0000019F" w:csb1="00000000"/>
  </w:font>
  <w:font w:name="Malgun Gothic">
    <w:panose1 w:val="020B0503020000020004"/>
    <w:charset w:val="81"/>
    <w:family w:val="swiss"/>
    <w:pitch w:val="variable"/>
    <w:sig w:usb0="9000002F" w:usb1="29D77CFB" w:usb2="00000012" w:usb3="00000000" w:csb0="00080001"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544"/>
    <w:rsid w:val="00001541"/>
    <w:rsid w:val="00030E00"/>
    <w:rsid w:val="00053AC1"/>
    <w:rsid w:val="000A2838"/>
    <w:rsid w:val="000D59A5"/>
    <w:rsid w:val="001361E8"/>
    <w:rsid w:val="002A3E6E"/>
    <w:rsid w:val="002C5588"/>
    <w:rsid w:val="00307041"/>
    <w:rsid w:val="00330D1D"/>
    <w:rsid w:val="003563F0"/>
    <w:rsid w:val="0037434F"/>
    <w:rsid w:val="00410070"/>
    <w:rsid w:val="004112CF"/>
    <w:rsid w:val="00411AC3"/>
    <w:rsid w:val="004C7C84"/>
    <w:rsid w:val="00525C1B"/>
    <w:rsid w:val="005404F7"/>
    <w:rsid w:val="00587252"/>
    <w:rsid w:val="005A72D5"/>
    <w:rsid w:val="005D0544"/>
    <w:rsid w:val="005D41D0"/>
    <w:rsid w:val="005D7A36"/>
    <w:rsid w:val="005E22EB"/>
    <w:rsid w:val="0061062B"/>
    <w:rsid w:val="00646BE5"/>
    <w:rsid w:val="0067227A"/>
    <w:rsid w:val="00680808"/>
    <w:rsid w:val="006F26A2"/>
    <w:rsid w:val="007470BD"/>
    <w:rsid w:val="00786323"/>
    <w:rsid w:val="00791358"/>
    <w:rsid w:val="007A462A"/>
    <w:rsid w:val="007B7816"/>
    <w:rsid w:val="00845410"/>
    <w:rsid w:val="0084680D"/>
    <w:rsid w:val="00854C97"/>
    <w:rsid w:val="008723C0"/>
    <w:rsid w:val="008D3EC6"/>
    <w:rsid w:val="008F78E5"/>
    <w:rsid w:val="00913DB2"/>
    <w:rsid w:val="00935274"/>
    <w:rsid w:val="009A479D"/>
    <w:rsid w:val="009F3C69"/>
    <w:rsid w:val="00A759E1"/>
    <w:rsid w:val="00A81433"/>
    <w:rsid w:val="00A93DD1"/>
    <w:rsid w:val="00AA0CCC"/>
    <w:rsid w:val="00AB1CE7"/>
    <w:rsid w:val="00AD0862"/>
    <w:rsid w:val="00AE0053"/>
    <w:rsid w:val="00B62A67"/>
    <w:rsid w:val="00B9357E"/>
    <w:rsid w:val="00C04D05"/>
    <w:rsid w:val="00C10638"/>
    <w:rsid w:val="00C6704C"/>
    <w:rsid w:val="00C724C8"/>
    <w:rsid w:val="00CC5B58"/>
    <w:rsid w:val="00CC79EF"/>
    <w:rsid w:val="00DB1C88"/>
    <w:rsid w:val="00DE4714"/>
    <w:rsid w:val="00E14998"/>
    <w:rsid w:val="00EC404E"/>
    <w:rsid w:val="00EC7BD6"/>
    <w:rsid w:val="00F82DD5"/>
    <w:rsid w:val="00FD566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4"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CE0026FBEB4E9CA124645F85F9F463">
    <w:name w:val="C1CE0026FBEB4E9CA124645F85F9F463"/>
  </w:style>
  <w:style w:type="character" w:styleId="Emphasis">
    <w:name w:val="Emphasis"/>
    <w:basedOn w:val="DefaultParagraphFont"/>
    <w:uiPriority w:val="4"/>
    <w:unhideWhenUsed/>
    <w:qFormat/>
    <w:rPr>
      <w:i/>
      <w:iCs/>
    </w:rPr>
  </w:style>
  <w:style w:type="paragraph" w:customStyle="1" w:styleId="C7E985AC51504BDF96C07B504CAE919C">
    <w:name w:val="C7E985AC51504BDF96C07B504CAE919C"/>
  </w:style>
  <w:style w:type="paragraph" w:customStyle="1" w:styleId="758FD7A1649B4D0A9D3AFC4B3EE3B8E0">
    <w:name w:val="758FD7A1649B4D0A9D3AFC4B3EE3B8E0"/>
  </w:style>
  <w:style w:type="paragraph" w:customStyle="1" w:styleId="40213EFCBDA44400836F59D6269A9883">
    <w:name w:val="40213EFCBDA44400836F59D6269A9883"/>
  </w:style>
  <w:style w:type="paragraph" w:customStyle="1" w:styleId="E4D6689A01D5463DAE58CF538E1BAD68">
    <w:name w:val="E4D6689A01D5463DAE58CF538E1BAD68"/>
    <w:rsid w:val="009F3C69"/>
    <w:pPr>
      <w:spacing w:line="278" w:lineRule="auto"/>
    </w:pPr>
    <w:rPr>
      <w:kern w:val="2"/>
      <w:sz w:val="24"/>
      <w:szCs w:val="24"/>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SOVEREIGNTY FOR YOUR BODY</Abstract>
  <CompanyAddress/>
  <CompanyPhone/>
  <CompanyFax/>
  <CompanyEmail/>
</CoverPageProperties>
</file>

<file path=customXml/item2.xml><?xml version="1.0" encoding="utf-8"?>
<b:Sources xmlns:b="http://schemas.openxmlformats.org/officeDocument/2006/bibliography" SelectedStyle="\APASixthEditionOfficeOnline.xsl" StyleName="APA" Version="6">
  <b:Source>
    <b:Tag>Article</b:Tag>
    <b:SourceType>JournalArticle</b:SourceType>
    <b:Guid>{A9826F97-9AB6-4323-9880-F46D9FA5FDF4}</b:Guid>
    <b:Title>Article Title</b:Title>
    <b:Year>Year</b:Year>
    <b:JournalName>Journal Title</b:JournalName>
    <b:Pages>Pages From - To</b:Pages>
    <b:Author>
      <b:Author>
        <b:NameList>
          <b:Person>
            <b:Last>Last Name</b:Last>
            <b:First>First,</b:First>
            <b:Middle>Middle</b:Middle>
          </b:Person>
        </b:NameList>
      </b:Author>
    </b:Author>
    <b:RefOrder>1</b:RefOrder>
  </b:Source>
  <b:Source>
    <b:Tag>Last</b:Tag>
    <b:SourceType>Book</b:SourceType>
    <b:Guid>{60AAA012-579D-4CB3-B717-40E27E8995F9}</b:Guid>
    <b:Title>Book Title</b:Title>
    <b:Year>Year</b:Year>
    <b:City>City Name</b:City>
    <b:Publisher>Publisher Name</b:Publisher>
    <b:Author>
      <b:Author>
        <b:NameList>
          <b:Person>
            <b:Last>Last Name</b:Last>
            <b:First>First,</b:First>
            <b:Middle>Middle</b:Middle>
          </b:Person>
        </b:NameList>
      </b:Author>
    </b:Author>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068AC35-F471-4A0A-8F25-5005B639D0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APA style report (6th edition).dotx</Template>
  <TotalTime>5</TotalTime>
  <Pages>33</Pages>
  <Words>8916</Words>
  <Characters>54746</Characters>
  <Application>Microsoft Office Word</Application>
  <DocSecurity>0</DocSecurity>
  <Lines>1013</Lines>
  <Paragraphs>513</Paragraphs>
  <ScaleCrop>false</ScaleCrop>
  <HeadingPairs>
    <vt:vector size="2" baseType="variant">
      <vt:variant>
        <vt:lpstr>Title</vt:lpstr>
      </vt:variant>
      <vt:variant>
        <vt:i4>1</vt:i4>
      </vt:variant>
    </vt:vector>
  </HeadingPairs>
  <TitlesOfParts>
    <vt:vector size="1" baseType="lpstr">
      <vt:lpstr>Sovereignty For Your Body: Acceptability of Sexual Victimization Risk Reduction Interventions among Indigenous College Students</vt:lpstr>
    </vt:vector>
  </TitlesOfParts>
  <Company/>
  <LinksUpToDate>false</LinksUpToDate>
  <CharactersWithSpaces>63149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Sovereignty For Your Body: Acceptability of Sexual Victimization Risk Reduction Interventions among Indigenous College Students</dc:title>
  <dc:subject/>
  <dc:creator>Anderson, RaeAnn</dc:creator>
  <cp:keywords/>
  <dc:description/>
  <cp:lastModifiedBy>Anderson, RaeAnn</cp:lastModifiedBy>
  <cp:revision>2</cp:revision>
  <dcterms:created xsi:type="dcterms:W3CDTF">2024-04-10T21:03:00Z</dcterms:created>
  <dcterms:modified xsi:type="dcterms:W3CDTF">2024-04-10T21:03:00Z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zotero-version="6.0.27"&gt;&lt;session id="uNplCdbS"/&gt;&lt;style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y fmtid="{D5CDD505-2E9C-101B-9397-08002B2CF9AE}" pid="4" name="GrammarlyDocumentId">
    <vt:lpwstr>f51f4054f51529338c19593dbe98cc0b2d92fd4a93b6a384830d92cb23575e46</vt:lpwstr>
  </property>
</Properties>
</file>